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300"/>
        </w:tabs>
        <w:topLinePunct/>
        <w:spacing w:line="560" w:lineRule="exact"/>
        <w:rPr>
          <w:rFonts w:ascii="方正仿宋_GBK" w:eastAsia="方正仿宋_GBK"/>
          <w:sz w:val="32"/>
          <w:szCs w:val="32"/>
        </w:rPr>
      </w:pPr>
    </w:p>
    <w:p>
      <w:pPr>
        <w:tabs>
          <w:tab w:val="left" w:pos="6300"/>
        </w:tabs>
        <w:topLinePunct/>
        <w:spacing w:line="560" w:lineRule="exact"/>
        <w:rPr>
          <w:rFonts w:ascii="方正仿宋_GBK" w:eastAsia="方正仿宋_GBK"/>
          <w:sz w:val="32"/>
          <w:szCs w:val="32"/>
        </w:rPr>
      </w:pPr>
    </w:p>
    <w:p>
      <w:pPr>
        <w:tabs>
          <w:tab w:val="left" w:pos="6300"/>
        </w:tabs>
        <w:topLinePunct/>
        <w:spacing w:line="560" w:lineRule="exact"/>
        <w:rPr>
          <w:rFonts w:ascii="方正仿宋_GBK" w:eastAsia="方正仿宋_GBK"/>
          <w:sz w:val="32"/>
          <w:szCs w:val="32"/>
        </w:rPr>
      </w:pPr>
    </w:p>
    <w:p>
      <w:pPr>
        <w:tabs>
          <w:tab w:val="left" w:pos="6300"/>
        </w:tabs>
        <w:topLinePunct/>
        <w:spacing w:line="560" w:lineRule="exact"/>
        <w:rPr>
          <w:rFonts w:ascii="方正仿宋_GBK" w:eastAsia="方正仿宋_GBK"/>
          <w:sz w:val="32"/>
          <w:szCs w:val="32"/>
        </w:rPr>
      </w:pPr>
    </w:p>
    <w:p>
      <w:pPr>
        <w:tabs>
          <w:tab w:val="left" w:pos="6300"/>
        </w:tabs>
        <w:topLinePunct/>
        <w:spacing w:line="560" w:lineRule="exact"/>
        <w:rPr>
          <w:rFonts w:ascii="方正仿宋_GBK" w:eastAsia="方正仿宋_GBK"/>
          <w:sz w:val="32"/>
          <w:szCs w:val="32"/>
        </w:rPr>
      </w:pPr>
    </w:p>
    <w:p>
      <w:pPr>
        <w:tabs>
          <w:tab w:val="left" w:pos="6300"/>
        </w:tabs>
        <w:topLinePunct/>
        <w:spacing w:line="560" w:lineRule="exact"/>
        <w:rPr>
          <w:rFonts w:ascii="方正仿宋_GBK" w:eastAsia="方正仿宋_GBK"/>
          <w:sz w:val="32"/>
          <w:szCs w:val="32"/>
        </w:rPr>
      </w:pPr>
    </w:p>
    <w:p>
      <w:pPr>
        <w:tabs>
          <w:tab w:val="left" w:pos="6300"/>
        </w:tabs>
        <w:topLinePunct/>
        <w:spacing w:line="560" w:lineRule="exact"/>
        <w:rPr>
          <w:rFonts w:ascii="方正仿宋_GBK" w:eastAsia="方正仿宋_GBK"/>
          <w:sz w:val="32"/>
          <w:szCs w:val="32"/>
        </w:rPr>
      </w:pPr>
    </w:p>
    <w:p>
      <w:pPr>
        <w:tabs>
          <w:tab w:val="left" w:pos="6300"/>
        </w:tabs>
        <w:topLinePunct/>
        <w:spacing w:before="468" w:beforeLines="150" w:line="560" w:lineRule="exact"/>
        <w:jc w:val="center"/>
        <w:rPr>
          <w:rFonts w:ascii="方正仿宋_GBK" w:eastAsia="方正仿宋_GBK"/>
          <w:sz w:val="32"/>
          <w:szCs w:val="32"/>
        </w:rPr>
      </w:pPr>
      <w:r>
        <w:rPr>
          <w:rFonts w:hint="eastAsia" w:ascii="方正仿宋_GBK" w:eastAsia="方正仿宋_GBK"/>
          <w:sz w:val="32"/>
          <w:szCs w:val="32"/>
        </w:rPr>
        <w:t>重城职院〔</w:t>
      </w: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hint="eastAsia" w:ascii="方正仿宋_GBK" w:eastAsia="方正仿宋_GBK"/>
          <w:sz w:val="32"/>
          <w:szCs w:val="32"/>
        </w:rPr>
        <w:t>〕</w:t>
      </w:r>
      <w:r>
        <w:rPr>
          <w:rFonts w:hint="eastAsia" w:ascii="Times New Roman" w:hAnsi="Times New Roman" w:eastAsia="方正仿宋_GBK"/>
          <w:sz w:val="32"/>
          <w:szCs w:val="32"/>
          <w:lang w:val="en-US" w:eastAsia="zh-CN"/>
        </w:rPr>
        <w:t>87</w:t>
      </w:r>
      <w:r>
        <w:rPr>
          <w:rFonts w:hint="eastAsia" w:ascii="方正仿宋_GBK" w:eastAsia="方正仿宋_GBK"/>
          <w:sz w:val="32"/>
          <w:szCs w:val="32"/>
        </w:rPr>
        <w:t>号</w:t>
      </w:r>
    </w:p>
    <w:p>
      <w:pPr>
        <w:tabs>
          <w:tab w:val="left" w:pos="1815"/>
        </w:tabs>
        <w:topLinePunct/>
        <w:spacing w:line="560" w:lineRule="exact"/>
        <w:rPr>
          <w:rFonts w:ascii="仿宋_GB2312" w:eastAsia="仿宋_GB2312"/>
          <w:sz w:val="32"/>
          <w:szCs w:val="32"/>
        </w:rPr>
      </w:pPr>
      <w:r>
        <w:rPr>
          <w:rFonts w:ascii="仿宋_GB2312" w:eastAsia="仿宋_GB2312"/>
          <w:sz w:val="32"/>
          <w:szCs w:val="32"/>
        </w:rPr>
        <w:tab/>
      </w:r>
    </w:p>
    <w:p>
      <w:pPr>
        <w:tabs>
          <w:tab w:val="left" w:pos="1815"/>
        </w:tabs>
        <w:topLinePunct/>
        <w:spacing w:line="560" w:lineRule="exact"/>
        <w:rPr>
          <w:rFonts w:ascii="仿宋_GB2312" w:eastAsia="仿宋_GB2312"/>
          <w:b/>
          <w:bCs/>
          <w:sz w:val="32"/>
          <w:szCs w:val="32"/>
        </w:rPr>
      </w:pPr>
    </w:p>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重庆城市职业学院</w:t>
      </w:r>
    </w:p>
    <w:p>
      <w:pPr>
        <w:spacing w:line="560" w:lineRule="exact"/>
        <w:jc w:val="center"/>
        <w:rPr>
          <w:rFonts w:hint="eastAsia" w:ascii="Times New Roman" w:hAnsi="Times New Roman" w:eastAsia="方正小标宋_GBK" w:cs="Times New Roman"/>
          <w:color w:val="000000"/>
          <w:sz w:val="44"/>
          <w:szCs w:val="44"/>
        </w:rPr>
      </w:pPr>
      <w:r>
        <w:rPr>
          <w:rFonts w:hint="eastAsia" w:ascii="方正小标宋_GBK" w:hAnsi="方正小标宋_GBK" w:eastAsia="方正小标宋_GBK" w:cs="方正小标宋_GBK"/>
          <w:spacing w:val="-6"/>
          <w:sz w:val="44"/>
          <w:szCs w:val="44"/>
        </w:rPr>
        <w:t>关于印发</w:t>
      </w:r>
      <w:r>
        <w:rPr>
          <w:rFonts w:hint="eastAsia" w:ascii="方正小标宋_GBK" w:hAnsi="方正小标宋_GBK" w:eastAsia="方正小标宋_GBK" w:cs="方正小标宋_GBK"/>
          <w:spacing w:val="-6"/>
          <w:sz w:val="44"/>
          <w:szCs w:val="44"/>
          <w:lang w:eastAsia="zh-CN"/>
        </w:rPr>
        <w:t>《</w:t>
      </w:r>
      <w:r>
        <w:rPr>
          <w:rFonts w:hint="eastAsia" w:ascii="Times New Roman" w:hAnsi="Times New Roman" w:eastAsia="方正小标宋_GBK" w:cs="Times New Roman"/>
          <w:color w:val="000000"/>
          <w:sz w:val="44"/>
          <w:szCs w:val="44"/>
        </w:rPr>
        <w:t>高层次人才市场化薪酬实施办法</w:t>
      </w:r>
    </w:p>
    <w:p>
      <w:pPr>
        <w:spacing w:line="560" w:lineRule="exact"/>
        <w:jc w:val="center"/>
        <w:rPr>
          <w:rFonts w:hint="eastAsia" w:ascii="方正小标宋_GBK" w:hAnsi="方正小标宋_GBK" w:eastAsia="方正小标宋_GBK" w:cs="方正小标宋_GBK"/>
          <w:sz w:val="44"/>
          <w:szCs w:val="44"/>
        </w:rPr>
      </w:pPr>
      <w:r>
        <w:rPr>
          <w:rFonts w:hint="eastAsia" w:ascii="Times New Roman" w:hAnsi="Times New Roman" w:eastAsia="方正小标宋_GBK" w:cs="Times New Roman"/>
          <w:color w:val="000000"/>
          <w:sz w:val="44"/>
          <w:szCs w:val="44"/>
        </w:rPr>
        <w:t>（试行）</w:t>
      </w:r>
      <w:r>
        <w:rPr>
          <w:rFonts w:hint="eastAsia" w:ascii="方正小标宋_GBK" w:hAnsi="方正小标宋_GBK" w:eastAsia="方正小标宋_GBK" w:cs="方正小标宋_GBK"/>
          <w:spacing w:val="-6"/>
          <w:sz w:val="44"/>
          <w:szCs w:val="44"/>
          <w:lang w:eastAsia="zh-CN"/>
        </w:rPr>
        <w:t>》</w:t>
      </w:r>
      <w:r>
        <w:rPr>
          <w:rFonts w:hint="eastAsia" w:ascii="方正小标宋_GBK" w:hAnsi="方正小标宋_GBK" w:eastAsia="方正小标宋_GBK" w:cs="方正小标宋_GBK"/>
          <w:spacing w:val="-6"/>
          <w:sz w:val="44"/>
          <w:szCs w:val="44"/>
        </w:rPr>
        <w:t>的</w:t>
      </w:r>
      <w:r>
        <w:rPr>
          <w:rFonts w:hint="eastAsia" w:ascii="方正小标宋_GBK" w:hAnsi="方正小标宋_GBK" w:eastAsia="方正小标宋_GBK" w:cs="方正小标宋_GBK"/>
          <w:sz w:val="44"/>
          <w:szCs w:val="44"/>
        </w:rPr>
        <w:t>通知</w:t>
      </w:r>
    </w:p>
    <w:p>
      <w:pPr>
        <w:pStyle w:val="2"/>
        <w:spacing w:line="480" w:lineRule="exact"/>
        <w:rPr>
          <w:rFonts w:hint="eastAsia"/>
        </w:rPr>
      </w:pPr>
    </w:p>
    <w:p>
      <w:pPr>
        <w:keepNext w:val="0"/>
        <w:keepLines w:val="0"/>
        <w:pageBreakBefore w:val="0"/>
        <w:kinsoku/>
        <w:wordWrap/>
        <w:overflowPunct/>
        <w:topLinePunct w:val="0"/>
        <w:autoSpaceDE/>
        <w:autoSpaceDN/>
        <w:bidi w:val="0"/>
        <w:adjustRightInd/>
        <w:snapToGrid/>
        <w:spacing w:line="560" w:lineRule="exact"/>
        <w:ind w:left="0" w:leftChars="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校属各单位：</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方正仿宋_GBK" w:hAnsi="仿宋" w:eastAsia="方正仿宋_GBK" w:cs="仿宋"/>
          <w:sz w:val="32"/>
          <w:szCs w:val="32"/>
        </w:rPr>
      </w:pPr>
      <w:bookmarkStart w:id="1" w:name="_GoBack"/>
      <w:r>
        <w:rPr>
          <w:rFonts w:hint="eastAsia" w:ascii="方正仿宋_GBK" w:hAnsi="仿宋" w:eastAsia="方正仿宋_GBK" w:cs="仿宋"/>
          <w:sz w:val="32"/>
          <w:szCs w:val="32"/>
        </w:rPr>
        <w:t>《</w:t>
      </w:r>
      <w:r>
        <w:rPr>
          <w:rFonts w:hint="eastAsia" w:ascii="方正仿宋_GBK" w:hAnsi="仿宋" w:eastAsia="方正仿宋_GBK" w:cs="仿宋"/>
          <w:sz w:val="32"/>
          <w:szCs w:val="32"/>
          <w:lang w:eastAsia="zh-CN"/>
        </w:rPr>
        <w:t>重庆城市职业学院高层次人才市场化薪酬实施办法（试行）</w:t>
      </w:r>
      <w:r>
        <w:rPr>
          <w:rFonts w:hint="eastAsia" w:ascii="方正仿宋_GBK" w:hAnsi="仿宋" w:eastAsia="方正仿宋_GBK" w:cs="仿宋"/>
          <w:sz w:val="32"/>
          <w:szCs w:val="32"/>
        </w:rPr>
        <w:t>》</w:t>
      </w:r>
      <w:bookmarkEnd w:id="1"/>
      <w:r>
        <w:rPr>
          <w:rFonts w:hint="eastAsia" w:ascii="方正仿宋_GBK" w:hAnsi="仿宋" w:eastAsia="方正仿宋_GBK" w:cs="仿宋"/>
          <w:sz w:val="32"/>
          <w:szCs w:val="32"/>
          <w:lang w:eastAsia="zh-CN"/>
        </w:rPr>
        <w:t>经</w:t>
      </w:r>
      <w:r>
        <w:rPr>
          <w:rFonts w:hint="eastAsia" w:ascii="方正仿宋_GBK" w:hAnsi="仿宋" w:eastAsia="方正仿宋_GBK" w:cs="仿宋"/>
          <w:sz w:val="32"/>
          <w:szCs w:val="32"/>
          <w:lang w:val="en-US" w:eastAsia="zh-CN"/>
        </w:rPr>
        <w:t>2023年9月18日第28期校长办公会审议，9月18日</w:t>
      </w:r>
      <w:r>
        <w:rPr>
          <w:rFonts w:hint="eastAsia" w:eastAsia="方正仿宋_GBK"/>
          <w:sz w:val="32"/>
          <w:szCs w:val="32"/>
        </w:rPr>
        <w:t>第</w:t>
      </w:r>
      <w:r>
        <w:rPr>
          <w:rFonts w:hint="eastAsia" w:eastAsia="方正仿宋_GBK"/>
          <w:sz w:val="32"/>
          <w:szCs w:val="32"/>
          <w:lang w:val="en-US" w:eastAsia="zh-CN"/>
        </w:rPr>
        <w:t>四届委员会第十一</w:t>
      </w:r>
      <w:r>
        <w:rPr>
          <w:rFonts w:hint="eastAsia" w:eastAsia="方正仿宋_GBK"/>
          <w:sz w:val="32"/>
          <w:szCs w:val="32"/>
        </w:rPr>
        <w:t>次</w:t>
      </w:r>
      <w:r>
        <w:rPr>
          <w:rFonts w:hint="eastAsia" w:eastAsia="方正仿宋_GBK"/>
          <w:sz w:val="32"/>
          <w:szCs w:val="32"/>
          <w:lang w:val="en-US" w:eastAsia="zh-CN"/>
        </w:rPr>
        <w:t>全体</w:t>
      </w:r>
      <w:r>
        <w:rPr>
          <w:rFonts w:eastAsia="方正仿宋_GBK"/>
          <w:sz w:val="32"/>
          <w:szCs w:val="32"/>
        </w:rPr>
        <w:t>会</w:t>
      </w:r>
      <w:r>
        <w:rPr>
          <w:rFonts w:hint="eastAsia" w:eastAsia="方正仿宋_GBK"/>
          <w:sz w:val="32"/>
          <w:szCs w:val="32"/>
          <w:lang w:eastAsia="zh-CN"/>
        </w:rPr>
        <w:t>议审定，</w:t>
      </w:r>
      <w:r>
        <w:rPr>
          <w:rFonts w:hint="eastAsia" w:ascii="方正仿宋_GBK" w:hAnsi="仿宋" w:eastAsia="方正仿宋_GBK" w:cs="仿宋"/>
          <w:sz w:val="32"/>
          <w:szCs w:val="32"/>
          <w:lang w:val="en-US" w:eastAsia="zh-CN"/>
        </w:rPr>
        <w:t>现</w:t>
      </w:r>
      <w:r>
        <w:rPr>
          <w:rFonts w:hint="eastAsia" w:ascii="方正仿宋_GBK" w:hAnsi="仿宋" w:eastAsia="方正仿宋_GBK" w:cs="仿宋"/>
          <w:sz w:val="32"/>
          <w:szCs w:val="32"/>
          <w:lang w:eastAsia="zh-CN"/>
        </w:rPr>
        <w:t>予以印发</w:t>
      </w:r>
      <w:r>
        <w:rPr>
          <w:rFonts w:hint="eastAsia" w:ascii="方正仿宋_GBK" w:hAnsi="仿宋" w:eastAsia="方正仿宋_GBK" w:cs="仿宋"/>
          <w:sz w:val="32"/>
          <w:szCs w:val="32"/>
        </w:rPr>
        <w:t>，请认真</w:t>
      </w:r>
      <w:r>
        <w:rPr>
          <w:rFonts w:hint="eastAsia" w:ascii="方正仿宋_GBK" w:hAnsi="仿宋" w:eastAsia="方正仿宋_GBK" w:cs="仿宋"/>
          <w:sz w:val="32"/>
          <w:szCs w:val="32"/>
          <w:lang w:eastAsia="zh-CN"/>
        </w:rPr>
        <w:t>贯彻落实</w:t>
      </w:r>
      <w:r>
        <w:rPr>
          <w:rFonts w:hint="eastAsia" w:ascii="方正仿宋_GBK" w:hAnsi="仿宋" w:eastAsia="方正仿宋_GBK" w:cs="仿宋"/>
          <w:sz w:val="32"/>
          <w:szCs w:val="32"/>
        </w:rPr>
        <w:t>。</w:t>
      </w:r>
    </w:p>
    <w:p>
      <w:pPr>
        <w:pStyle w:val="2"/>
        <w:keepNext w:val="0"/>
        <w:keepLines w:val="0"/>
        <w:pageBreakBefore w:val="0"/>
        <w:kinsoku/>
        <w:wordWrap/>
        <w:overflowPunct/>
        <w:topLinePunct w:val="0"/>
        <w:autoSpaceDE/>
        <w:autoSpaceDN/>
        <w:bidi w:val="0"/>
        <w:adjustRightInd/>
        <w:snapToGrid/>
        <w:spacing w:line="560" w:lineRule="exact"/>
        <w:ind w:leftChars="0"/>
        <w:textAlignment w:val="auto"/>
        <w:rPr>
          <w:rFonts w:hint="eastAsia" w:ascii="方正仿宋_GBK" w:hAnsi="仿宋" w:eastAsia="方正仿宋_GBK" w:cs="仿宋"/>
          <w:sz w:val="32"/>
          <w:szCs w:val="32"/>
        </w:rPr>
      </w:pPr>
    </w:p>
    <w:p>
      <w:pPr>
        <w:keepNext w:val="0"/>
        <w:keepLines w:val="0"/>
        <w:pageBreakBefore w:val="0"/>
        <w:tabs>
          <w:tab w:val="left" w:pos="9360"/>
        </w:tabs>
        <w:kinsoku/>
        <w:wordWrap/>
        <w:overflowPunct/>
        <w:topLinePunct w:val="0"/>
        <w:autoSpaceDE/>
        <w:autoSpaceDN/>
        <w:bidi w:val="0"/>
        <w:adjustRightInd/>
        <w:snapToGrid/>
        <w:spacing w:line="560" w:lineRule="exact"/>
        <w:ind w:left="0" w:leftChars="0" w:firstLine="640" w:firstLineChars="200"/>
        <w:jc w:val="center"/>
        <w:textAlignment w:val="auto"/>
        <w:rPr>
          <w:rFonts w:eastAsia="方正仿宋_GBK"/>
          <w:sz w:val="32"/>
          <w:szCs w:val="32"/>
        </w:rPr>
      </w:pPr>
      <w:r>
        <w:rPr>
          <w:rFonts w:hint="eastAsia" w:eastAsia="方正仿宋_GBK"/>
          <w:sz w:val="32"/>
          <w:szCs w:val="32"/>
          <w:lang w:val="en-US" w:eastAsia="zh-CN"/>
        </w:rPr>
        <w:t xml:space="preserve">                               </w:t>
      </w:r>
      <w:r>
        <w:rPr>
          <w:rFonts w:eastAsia="方正仿宋_GBK"/>
          <w:sz w:val="32"/>
          <w:szCs w:val="32"/>
        </w:rPr>
        <w:t>重庆城市职业学院</w:t>
      </w:r>
    </w:p>
    <w:p>
      <w:pPr>
        <w:keepNext w:val="0"/>
        <w:keepLines w:val="0"/>
        <w:pageBreakBefore w:val="0"/>
        <w:tabs>
          <w:tab w:val="left" w:pos="9360"/>
        </w:tabs>
        <w:kinsoku/>
        <w:wordWrap/>
        <w:overflowPunct/>
        <w:topLinePunct w:val="0"/>
        <w:autoSpaceDE/>
        <w:autoSpaceDN/>
        <w:bidi w:val="0"/>
        <w:adjustRightInd/>
        <w:snapToGrid/>
        <w:spacing w:line="560" w:lineRule="exact"/>
        <w:ind w:left="0" w:leftChars="0" w:firstLine="640" w:firstLineChars="200"/>
        <w:jc w:val="center"/>
        <w:textAlignment w:val="auto"/>
        <w:rPr>
          <w:rFonts w:eastAsia="方正仿宋_GBK"/>
          <w:sz w:val="32"/>
          <w:szCs w:val="32"/>
        </w:rPr>
      </w:pPr>
      <w:r>
        <w:rPr>
          <w:rFonts w:hint="eastAsia" w:eastAsia="方正仿宋_GBK"/>
          <w:sz w:val="32"/>
          <w:szCs w:val="32"/>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ascii="Times New Roman" w:hAnsi="Times New Roman" w:eastAsia="方正仿宋_GBK" w:cs="Times New Roman"/>
          <w:sz w:val="32"/>
          <w:szCs w:val="32"/>
        </w:rPr>
        <w:t>2023年</w:t>
      </w:r>
      <w:r>
        <w:rPr>
          <w:rFonts w:hint="eastAsia" w:ascii="Times New Roman" w:hAnsi="Times New Roman" w:eastAsia="方正仿宋_GBK" w:cs="Times New Roman"/>
          <w:sz w:val="32"/>
          <w:szCs w:val="32"/>
          <w:lang w:eastAsia="zh-CN"/>
        </w:rPr>
        <w:t>9</w:t>
      </w:r>
      <w:r>
        <w:rPr>
          <w:rFonts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22</w:t>
      </w:r>
      <w:r>
        <w:rPr>
          <w:rFonts w:eastAsia="方正仿宋_GBK"/>
          <w:sz w:val="32"/>
          <w:szCs w:val="32"/>
        </w:rPr>
        <w:t>日</w:t>
      </w:r>
    </w:p>
    <w:p>
      <w:pPr>
        <w:spacing w:line="600" w:lineRule="exact"/>
        <w:jc w:val="center"/>
        <w:rPr>
          <w:rFonts w:ascii="Times New Roman" w:hAnsi="Times New Roman" w:eastAsia="方正小标宋_GBK" w:cs="Times New Roman"/>
          <w:color w:val="000000"/>
          <w:sz w:val="44"/>
          <w:szCs w:val="44"/>
        </w:rPr>
      </w:pPr>
      <w:r>
        <w:rPr>
          <w:rFonts w:hint="eastAsia" w:ascii="Times New Roman" w:hAnsi="Times New Roman" w:eastAsia="方正小标宋_GBK" w:cs="Times New Roman"/>
          <w:color w:val="000000"/>
          <w:sz w:val="44"/>
          <w:szCs w:val="44"/>
        </w:rPr>
        <w:t>重庆城市职业学院</w:t>
      </w:r>
    </w:p>
    <w:p>
      <w:pPr>
        <w:spacing w:line="600" w:lineRule="exact"/>
        <w:jc w:val="center"/>
        <w:rPr>
          <w:rFonts w:ascii="Times New Roman" w:hAnsi="Times New Roman" w:eastAsia="方正小标宋_GBK" w:cs="Times New Roman"/>
          <w:color w:val="000000"/>
          <w:sz w:val="44"/>
          <w:szCs w:val="44"/>
        </w:rPr>
      </w:pPr>
      <w:r>
        <w:rPr>
          <w:rFonts w:hint="eastAsia" w:ascii="Times New Roman" w:hAnsi="Times New Roman" w:eastAsia="方正小标宋_GBK" w:cs="Times New Roman"/>
          <w:color w:val="000000"/>
          <w:sz w:val="44"/>
          <w:szCs w:val="44"/>
        </w:rPr>
        <w:t>高层次人才市场化薪酬实施办法（试行）</w:t>
      </w:r>
    </w:p>
    <w:p>
      <w:pPr>
        <w:pStyle w:val="4"/>
        <w:spacing w:before="0" w:after="0" w:line="560" w:lineRule="exact"/>
        <w:jc w:val="center"/>
        <w:rPr>
          <w:rFonts w:ascii="黑体" w:hAnsi="黑体" w:eastAsia="黑体" w:cs="黑体"/>
          <w:b w:val="0"/>
          <w:bCs w:val="0"/>
          <w:color w:val="000000" w:themeColor="text1"/>
          <w14:textFill>
            <w14:solidFill>
              <w14:schemeClr w14:val="tx1"/>
            </w14:solidFill>
          </w14:textFill>
        </w:rPr>
      </w:pPr>
    </w:p>
    <w:p>
      <w:pPr>
        <w:pStyle w:val="4"/>
        <w:spacing w:before="0" w:after="0" w:line="560" w:lineRule="exact"/>
        <w:jc w:val="center"/>
        <w:rPr>
          <w:rFonts w:ascii="黑体" w:hAnsi="黑体" w:eastAsia="黑体" w:cs="黑体"/>
          <w:b w:val="0"/>
          <w:bCs w:val="0"/>
          <w:color w:val="000000" w:themeColor="text1"/>
          <w14:textFill>
            <w14:solidFill>
              <w14:schemeClr w14:val="tx1"/>
            </w14:solidFill>
          </w14:textFill>
        </w:rPr>
      </w:pPr>
      <w:r>
        <w:rPr>
          <w:rFonts w:hint="eastAsia" w:ascii="黑体" w:hAnsi="黑体" w:eastAsia="黑体" w:cs="黑体"/>
          <w:b w:val="0"/>
          <w:bCs w:val="0"/>
          <w:color w:val="000000" w:themeColor="text1"/>
          <w14:textFill>
            <w14:solidFill>
              <w14:schemeClr w14:val="tx1"/>
            </w14:solidFill>
          </w14:textFill>
        </w:rPr>
        <w:t>第一章  总则</w:t>
      </w:r>
    </w:p>
    <w:p>
      <w:pPr>
        <w:widowControl/>
        <w:shd w:val="clear" w:color="auto" w:fill="FFFFFF"/>
        <w:spacing w:line="560" w:lineRule="exact"/>
        <w:ind w:firstLine="643" w:firstLineChars="200"/>
        <w:rPr>
          <w:rFonts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第一条</w:t>
      </w:r>
      <w:r>
        <w:rPr>
          <w:rFonts w:hint="eastAsia"/>
          <w:b/>
          <w:sz w:val="30"/>
          <w:szCs w:val="30"/>
        </w:rPr>
        <w:t xml:space="preserve"> </w:t>
      </w:r>
      <w:r>
        <w:rPr>
          <w:rFonts w:ascii="Times New Roman" w:hAnsi="Times New Roman" w:eastAsia="方正仿宋_GBK" w:cs="Times New Roman"/>
          <w:sz w:val="32"/>
          <w:szCs w:val="32"/>
        </w:rPr>
        <w:t>为深入贯彻习近平新时代中国特色社会主义思想，进一步推动学校高层次人才薪酬改革，激发高层次人才的创新创造活力，根据</w:t>
      </w:r>
      <w:r>
        <w:rPr>
          <w:rFonts w:hint="eastAsia" w:ascii="Times New Roman" w:hAnsi="Times New Roman" w:eastAsia="方正仿宋_GBK" w:cs="Times New Roman"/>
          <w:sz w:val="32"/>
          <w:szCs w:val="32"/>
        </w:rPr>
        <w:t>国家</w:t>
      </w:r>
      <w:r>
        <w:rPr>
          <w:rFonts w:ascii="Times New Roman" w:hAnsi="Times New Roman" w:eastAsia="方正仿宋_GBK" w:cs="Times New Roman"/>
          <w:sz w:val="32"/>
          <w:szCs w:val="32"/>
        </w:rPr>
        <w:t>《深化新时代教育评价改革总体方案》《重庆市深化新时代教育评价改革若干措施》《重庆市人民政府办公厅关于完善事业单位绩效工资政策的通知》</w:t>
      </w:r>
      <w:bookmarkStart w:id="0" w:name="_Hlk100395249"/>
      <w:r>
        <w:rPr>
          <w:rFonts w:ascii="Times New Roman" w:hAnsi="Times New Roman" w:eastAsia="方正仿宋_GBK" w:cs="Times New Roman"/>
          <w:sz w:val="32"/>
          <w:szCs w:val="32"/>
        </w:rPr>
        <w:t>（渝府办〔2017〕168号）</w:t>
      </w:r>
      <w:bookmarkEnd w:id="0"/>
      <w:r>
        <w:rPr>
          <w:rFonts w:ascii="Times New Roman" w:hAnsi="Times New Roman" w:eastAsia="方正仿宋_GBK" w:cs="Times New Roman"/>
          <w:sz w:val="32"/>
          <w:szCs w:val="32"/>
        </w:rPr>
        <w:t>《重庆市教育委员会关于进一步完善市属高校绩效考核及分配的指导意见》（渝教发〔2018〕1号）</w:t>
      </w:r>
      <w:r>
        <w:rPr>
          <w:rFonts w:hint="eastAsia" w:ascii="Times New Roman" w:hAnsi="Times New Roman" w:eastAsia="方正仿宋_GBK" w:cs="Times New Roman"/>
          <w:sz w:val="32"/>
          <w:szCs w:val="32"/>
        </w:rPr>
        <w:t>，市人力社保局、市财政局《关于印发&lt;重庆市完善事业单位绩效工资政策若干问题的处理意见（二）&gt;的通知》（渝人社发〔2018〕144号），市教委、市人力社保局《关于印发&lt;重庆市加快高等学校高层次人才队伍建设支持举措&gt;的通知》（渝教人发〔2019〕18号）《重庆市引进高层次人才若干优惠政策规定的通知》（</w:t>
      </w:r>
      <w:r>
        <w:rPr>
          <w:rFonts w:hint="eastAsia" w:ascii="方正仿宋_GBK" w:hAnsi="方正仿宋_GBK" w:eastAsia="方正仿宋_GBK" w:cs="方正仿宋_GBK"/>
          <w:color w:val="auto"/>
          <w:kern w:val="0"/>
          <w:sz w:val="32"/>
          <w:szCs w:val="32"/>
        </w:rPr>
        <w:t>渝府发</w:t>
      </w:r>
      <w:r>
        <w:rPr>
          <w:rFonts w:hint="eastAsia" w:ascii="方正楷体_GBK" w:hAnsi="微软雅黑" w:eastAsia="方正楷体_GBK" w:cs="宋体"/>
          <w:color w:val="333333"/>
          <w:kern w:val="0"/>
          <w:sz w:val="32"/>
          <w:szCs w:val="32"/>
        </w:rPr>
        <w:t>〔</w:t>
      </w:r>
      <w:r>
        <w:rPr>
          <w:rFonts w:hint="eastAsia" w:ascii="Times New Roman" w:hAnsi="Times New Roman" w:eastAsia="方正仿宋_GBK" w:cs="Times New Roman"/>
          <w:color w:val="auto"/>
          <w:kern w:val="2"/>
          <w:sz w:val="32"/>
          <w:szCs w:val="32"/>
        </w:rPr>
        <w:t>2009〕58</w:t>
      </w:r>
      <w:r>
        <w:rPr>
          <w:rFonts w:hint="eastAsia" w:ascii="方正楷体_GBK" w:hAnsi="微软雅黑" w:eastAsia="方正楷体_GBK" w:cs="宋体"/>
          <w:color w:val="333333"/>
          <w:kern w:val="0"/>
          <w:sz w:val="32"/>
          <w:szCs w:val="32"/>
        </w:rPr>
        <w:t>号</w:t>
      </w:r>
      <w:r>
        <w:rPr>
          <w:rFonts w:hint="eastAsia" w:ascii="Times New Roman" w:hAnsi="Times New Roman" w:eastAsia="方正仿宋_GBK" w:cs="Times New Roman"/>
          <w:sz w:val="32"/>
          <w:szCs w:val="32"/>
        </w:rPr>
        <w:t>）等文件精神，结合学校</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高层次人才引进管理办法（修订）</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（重城职院〔2023〕31号），特</w:t>
      </w:r>
      <w:r>
        <w:rPr>
          <w:rFonts w:ascii="Times New Roman" w:hAnsi="Times New Roman" w:eastAsia="方正仿宋_GBK" w:cs="Times New Roman"/>
          <w:sz w:val="32"/>
          <w:szCs w:val="32"/>
        </w:rPr>
        <w:t>制定本办法。</w:t>
      </w:r>
    </w:p>
    <w:p>
      <w:pPr>
        <w:spacing w:line="560" w:lineRule="exact"/>
        <w:ind w:firstLine="643" w:firstLineChars="200"/>
        <w:rPr>
          <w:rFonts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第二条</w:t>
      </w:r>
      <w:r>
        <w:rPr>
          <w:rFonts w:hint="eastAsia" w:ascii="Times New Roman" w:hAnsi="Times New Roman" w:eastAsia="方正仿宋_GBK" w:cs="Times New Roman"/>
          <w:sz w:val="32"/>
          <w:szCs w:val="32"/>
        </w:rPr>
        <w:t xml:space="preserve"> 学校</w:t>
      </w:r>
      <w:r>
        <w:rPr>
          <w:rFonts w:ascii="Times New Roman" w:hAnsi="Times New Roman" w:eastAsia="方正仿宋_GBK" w:cs="Times New Roman"/>
          <w:sz w:val="32"/>
          <w:szCs w:val="32"/>
        </w:rPr>
        <w:t>市场化薪酬</w:t>
      </w:r>
      <w:r>
        <w:rPr>
          <w:rFonts w:hint="eastAsia" w:ascii="Times New Roman" w:hAnsi="Times New Roman" w:eastAsia="方正仿宋_GBK" w:cs="Times New Roman"/>
          <w:sz w:val="32"/>
          <w:szCs w:val="32"/>
        </w:rPr>
        <w:t>以“科学合理</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公平公正</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创新评价，</w:t>
      </w:r>
      <w:r>
        <w:rPr>
          <w:rFonts w:ascii="Times New Roman" w:hAnsi="Times New Roman" w:eastAsia="方正仿宋_GBK" w:cs="Times New Roman"/>
          <w:sz w:val="32"/>
          <w:szCs w:val="32"/>
        </w:rPr>
        <w:t>市场导向</w:t>
      </w:r>
      <w:r>
        <w:rPr>
          <w:rFonts w:hint="eastAsia" w:ascii="Times New Roman" w:hAnsi="Times New Roman" w:eastAsia="方正仿宋_GBK" w:cs="Times New Roman"/>
          <w:sz w:val="32"/>
          <w:szCs w:val="32"/>
        </w:rPr>
        <w:t>；提质增优，</w:t>
      </w:r>
      <w:r>
        <w:rPr>
          <w:rFonts w:ascii="Times New Roman" w:hAnsi="Times New Roman" w:eastAsia="方正仿宋_GBK" w:cs="Times New Roman"/>
          <w:sz w:val="32"/>
          <w:szCs w:val="32"/>
        </w:rPr>
        <w:t>促进发展；</w:t>
      </w:r>
      <w:r>
        <w:rPr>
          <w:rFonts w:hint="eastAsia" w:ascii="Times New Roman" w:hAnsi="Times New Roman" w:eastAsia="方正仿宋_GBK" w:cs="Times New Roman"/>
          <w:sz w:val="32"/>
          <w:szCs w:val="32"/>
        </w:rPr>
        <w:t>德绩</w:t>
      </w:r>
      <w:r>
        <w:rPr>
          <w:rFonts w:ascii="Times New Roman" w:hAnsi="Times New Roman" w:eastAsia="方正仿宋_GBK" w:cs="Times New Roman"/>
          <w:sz w:val="32"/>
          <w:szCs w:val="32"/>
        </w:rPr>
        <w:t>并重，统筹兼顾</w:t>
      </w:r>
      <w:r>
        <w:rPr>
          <w:rFonts w:hint="eastAsia" w:ascii="Times New Roman" w:hAnsi="Times New Roman" w:eastAsia="方正仿宋_GBK" w:cs="Times New Roman"/>
          <w:sz w:val="32"/>
          <w:szCs w:val="32"/>
        </w:rPr>
        <w:t>”为</w:t>
      </w:r>
      <w:r>
        <w:rPr>
          <w:rFonts w:ascii="Times New Roman" w:hAnsi="Times New Roman" w:eastAsia="方正仿宋_GBK" w:cs="Times New Roman"/>
          <w:sz w:val="32"/>
          <w:szCs w:val="32"/>
        </w:rPr>
        <w:t>基本原则。</w:t>
      </w:r>
    </w:p>
    <w:p>
      <w:pPr>
        <w:spacing w:line="560" w:lineRule="exact"/>
        <w:ind w:firstLine="643" w:firstLineChars="200"/>
        <w:rPr>
          <w:rFonts w:hint="eastAsia"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第三条</w:t>
      </w:r>
      <w:r>
        <w:rPr>
          <w:rFonts w:hint="eastAsia" w:ascii="方正粗黑宋简体" w:hAnsi="方正粗黑宋简体" w:eastAsia="方正粗黑宋简体"/>
          <w:sz w:val="30"/>
          <w:szCs w:val="30"/>
        </w:rPr>
        <w:t xml:space="preserve"> </w:t>
      </w:r>
      <w:r>
        <w:rPr>
          <w:rFonts w:hint="eastAsia" w:ascii="Times New Roman" w:hAnsi="Times New Roman" w:eastAsia="方正仿宋_GBK" w:cs="Times New Roman"/>
          <w:sz w:val="32"/>
          <w:szCs w:val="32"/>
        </w:rPr>
        <w:t>高层次人才市场化薪酬是参照同类人才的市场价格确定薪酬水平，采取绩效工资总量追加单列机制，实行动态管理，执行年薪制。</w:t>
      </w:r>
    </w:p>
    <w:p>
      <w:pPr>
        <w:spacing w:before="0" w:after="0" w:line="560" w:lineRule="exact"/>
        <w:ind w:firstLine="964" w:firstLineChars="300"/>
        <w:jc w:val="left"/>
      </w:pPr>
      <w:r>
        <w:rPr>
          <w:rFonts w:hint="default" w:ascii="Times New Roman" w:hAnsi="Times New Roman" w:eastAsia="方正仿宋_GBK" w:cs="Times New Roman"/>
          <w:b/>
          <w:bCs/>
          <w:sz w:val="32"/>
          <w:szCs w:val="32"/>
        </w:rPr>
        <w:t>第四条</w:t>
      </w:r>
      <w:r>
        <w:rPr>
          <w:rFonts w:hint="eastAsia" w:ascii="方正粗黑宋简体" w:hAnsi="方正粗黑宋简体" w:eastAsia="方正粗黑宋简体"/>
          <w:sz w:val="30"/>
          <w:szCs w:val="30"/>
        </w:rPr>
        <w:t xml:space="preserve"> </w:t>
      </w:r>
      <w:r>
        <w:rPr>
          <w:rFonts w:hint="eastAsia" w:ascii="Times New Roman" w:hAnsi="Times New Roman" w:eastAsia="方正仿宋_GBK" w:cs="Times New Roman"/>
          <w:sz w:val="32"/>
          <w:szCs w:val="32"/>
        </w:rPr>
        <w:t>坚持党管人才。学校成立高层次人才市场化薪酬领导小组，负责高层次人才市场化薪酬的管理工作。领导小组由党委书记和校长任组长，由分管组织、人事工作的校领导任副组长，成员由党政办公室、组织部、人事处、</w:t>
      </w:r>
      <w:r>
        <w:rPr>
          <w:rFonts w:hint="eastAsia" w:ascii="Times New Roman" w:hAnsi="Times New Roman" w:eastAsia="方正仿宋_GBK" w:cs="Times New Roman"/>
          <w:sz w:val="32"/>
          <w:szCs w:val="32"/>
          <w:lang w:eastAsia="zh-CN"/>
        </w:rPr>
        <w:t>财务处、</w:t>
      </w:r>
      <w:r>
        <w:rPr>
          <w:rFonts w:hint="eastAsia" w:ascii="Times New Roman" w:hAnsi="Times New Roman" w:eastAsia="方正仿宋_GBK" w:cs="Times New Roman"/>
          <w:sz w:val="32"/>
          <w:szCs w:val="32"/>
        </w:rPr>
        <w:t>教务处、科研与合作发展中心、学生工作部等部门主要负责人、校学术委员会专家代表、教代会代表等组成。学校高层次人才市场化薪酬领导小组办公室设在人事处，负责相关组织工作。</w:t>
      </w:r>
    </w:p>
    <w:p>
      <w:pPr>
        <w:pStyle w:val="4"/>
        <w:spacing w:before="0" w:after="0" w:line="560" w:lineRule="exact"/>
        <w:jc w:val="center"/>
        <w:rPr>
          <w:rFonts w:ascii="黑体" w:hAnsi="黑体" w:eastAsia="黑体" w:cs="黑体"/>
          <w:b w:val="0"/>
          <w:bCs w:val="0"/>
          <w:color w:val="000000" w:themeColor="text1"/>
          <w14:textFill>
            <w14:solidFill>
              <w14:schemeClr w14:val="tx1"/>
            </w14:solidFill>
          </w14:textFill>
        </w:rPr>
      </w:pPr>
      <w:r>
        <w:rPr>
          <w:rFonts w:hint="eastAsia" w:ascii="黑体" w:hAnsi="黑体" w:eastAsia="黑体" w:cs="黑体"/>
          <w:b w:val="0"/>
          <w:bCs w:val="0"/>
          <w:color w:val="000000" w:themeColor="text1"/>
          <w14:textFill>
            <w14:solidFill>
              <w14:schemeClr w14:val="tx1"/>
            </w14:solidFill>
          </w14:textFill>
        </w:rPr>
        <w:t>第二章  高层次人才的遴选</w:t>
      </w:r>
    </w:p>
    <w:p>
      <w:pPr>
        <w:spacing w:line="560" w:lineRule="exact"/>
        <w:ind w:firstLine="643" w:firstLineChars="200"/>
        <w:rPr>
          <w:rFonts w:cs="宋体" w:asciiTheme="minorEastAsia" w:hAnsiTheme="minorEastAsia"/>
          <w:b/>
          <w:sz w:val="30"/>
          <w:szCs w:val="30"/>
        </w:rPr>
      </w:pPr>
      <w:r>
        <w:rPr>
          <w:rFonts w:hint="default" w:ascii="Times New Roman" w:hAnsi="Times New Roman" w:eastAsia="方正仿宋_GBK" w:cs="Times New Roman"/>
          <w:b/>
          <w:bCs/>
          <w:sz w:val="32"/>
          <w:szCs w:val="32"/>
        </w:rPr>
        <w:t>第五条</w:t>
      </w:r>
      <w:r>
        <w:rPr>
          <w:rFonts w:hint="eastAsia" w:ascii="方正粗黑宋简体" w:hAnsi="方正粗黑宋简体" w:eastAsia="方正粗黑宋简体"/>
          <w:sz w:val="30"/>
          <w:szCs w:val="30"/>
        </w:rPr>
        <w:t xml:space="preserve"> </w:t>
      </w:r>
      <w:r>
        <w:rPr>
          <w:rFonts w:hint="eastAsia" w:ascii="Times New Roman" w:hAnsi="Times New Roman" w:eastAsia="方正仿宋_GBK" w:cs="Times New Roman"/>
          <w:sz w:val="32"/>
          <w:szCs w:val="32"/>
        </w:rPr>
        <w:t>本办法所指的高层次人才，原则上应具有高级专业技术职务或博士学位，或市级及以上高技能人才，为学校事业发展急需且能为学校事业发展做出突出贡献，按照上级相关规定，经学校遴选的优秀技术技能人才；原则上已享受年薪制、协议工资制、项目工资制的高层次人才不在本办法申报范围。</w:t>
      </w:r>
    </w:p>
    <w:p>
      <w:pPr>
        <w:spacing w:line="560" w:lineRule="exact"/>
        <w:ind w:firstLine="643" w:firstLineChars="200"/>
        <w:rPr>
          <w:sz w:val="30"/>
          <w:szCs w:val="30"/>
        </w:rPr>
      </w:pPr>
      <w:r>
        <w:rPr>
          <w:rFonts w:hint="default" w:ascii="Times New Roman" w:hAnsi="Times New Roman" w:eastAsia="方正仿宋_GBK" w:cs="Times New Roman"/>
          <w:b/>
          <w:bCs/>
          <w:sz w:val="32"/>
          <w:szCs w:val="32"/>
        </w:rPr>
        <w:t>第六条</w:t>
      </w:r>
      <w:r>
        <w:rPr>
          <w:rFonts w:hint="eastAsia" w:ascii="方正粗黑宋简体" w:hAnsi="方正粗黑宋简体" w:eastAsia="方正粗黑宋简体"/>
          <w:sz w:val="30"/>
          <w:szCs w:val="30"/>
        </w:rPr>
        <w:t xml:space="preserve"> </w:t>
      </w:r>
      <w:r>
        <w:rPr>
          <w:rFonts w:hint="eastAsia" w:ascii="Times New Roman" w:hAnsi="Times New Roman" w:eastAsia="方正仿宋_GBK" w:cs="Times New Roman"/>
          <w:sz w:val="32"/>
          <w:szCs w:val="32"/>
        </w:rPr>
        <w:t>基本条件</w:t>
      </w:r>
    </w:p>
    <w:p>
      <w:pPr>
        <w:widowControl/>
        <w:spacing w:line="560" w:lineRule="exact"/>
        <w:ind w:firstLine="640" w:firstLineChars="200"/>
        <w:rPr>
          <w:rFonts w:ascii="Times New Roman" w:hAnsi="Times New Roman" w:eastAsia="方正仿宋_GBK" w:cs="Times New Roman"/>
          <w:sz w:val="32"/>
          <w:szCs w:val="32"/>
        </w:rPr>
      </w:pPr>
      <w:r>
        <w:rPr>
          <w:rFonts w:hint="eastAsia" w:ascii="方正楷体_GBK" w:hAnsi="方正楷体_GBK" w:eastAsia="方正楷体_GBK" w:cs="方正楷体_GBK"/>
          <w:sz w:val="32"/>
          <w:szCs w:val="32"/>
        </w:rPr>
        <w:t>（一）思想政治条件。</w:t>
      </w:r>
      <w:r>
        <w:rPr>
          <w:rFonts w:hint="eastAsia" w:ascii="Times New Roman" w:hAnsi="Times New Roman" w:eastAsia="方正仿宋_GBK" w:cs="Times New Roman"/>
          <w:sz w:val="32"/>
          <w:szCs w:val="32"/>
        </w:rPr>
        <w:t>坚持正确的政治方向，拥护中国共产党的领导，遵纪守法，具备良好的思想政治品德、社会公德、职业道德、家庭美德、个人品德；热爱教育，关爱学生。</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方正楷体_GBK" w:hAnsi="方正楷体_GBK" w:eastAsia="方正楷体_GBK" w:cs="方正楷体_GBK"/>
          <w:b w:val="0"/>
          <w:sz w:val="32"/>
          <w:szCs w:val="32"/>
        </w:rPr>
        <w:t>（二）</w:t>
      </w:r>
      <w:r>
        <w:rPr>
          <w:rFonts w:hint="eastAsia" w:ascii="方正楷体_GBK" w:hAnsi="方正楷体_GBK" w:eastAsia="方正楷体_GBK" w:cs="方正楷体_GBK"/>
          <w:sz w:val="32"/>
          <w:szCs w:val="32"/>
        </w:rPr>
        <w:t>基本履职条件。</w:t>
      </w:r>
      <w:r>
        <w:rPr>
          <w:rFonts w:hint="eastAsia" w:ascii="Times New Roman" w:hAnsi="Times New Roman" w:eastAsia="方正仿宋_GBK" w:cs="Times New Roman"/>
          <w:sz w:val="32"/>
          <w:szCs w:val="32"/>
        </w:rPr>
        <w:t>身心健康，能正常履行岗位职责。第一层次人才不作年龄要求，第二</w:t>
      </w:r>
      <w:r>
        <w:rPr>
          <w:rFonts w:hint="eastAsia" w:ascii="Times New Roman" w:hAnsi="Times New Roman" w:eastAsia="方正仿宋_GBK" w:cs="Times New Roman"/>
          <w:sz w:val="32"/>
          <w:szCs w:val="32"/>
          <w:lang w:eastAsia="zh-CN"/>
        </w:rPr>
        <w:t>至</w:t>
      </w:r>
      <w:r>
        <w:rPr>
          <w:rFonts w:hint="eastAsia" w:ascii="Times New Roman" w:hAnsi="Times New Roman" w:eastAsia="方正仿宋_GBK" w:cs="Times New Roman"/>
          <w:sz w:val="32"/>
          <w:szCs w:val="32"/>
        </w:rPr>
        <w:t>四层次人才须在法定退休年龄前完成聘期考核任务，第五层次人才原则上年龄在40周岁及以下，具体时间节点要求以申报当年通知为准。</w:t>
      </w:r>
    </w:p>
    <w:p>
      <w:pPr>
        <w:widowControl/>
        <w:snapToGrid w:val="0"/>
        <w:spacing w:line="560" w:lineRule="exact"/>
        <w:ind w:firstLine="643" w:firstLineChars="200"/>
        <w:rPr>
          <w:rFonts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第七条</w:t>
      </w:r>
      <w:r>
        <w:rPr>
          <w:rFonts w:hint="eastAsia" w:ascii="方正粗黑宋简体" w:hAnsi="方正粗黑宋简体" w:eastAsia="方正粗黑宋简体"/>
          <w:sz w:val="30"/>
          <w:szCs w:val="30"/>
        </w:rPr>
        <w:t xml:space="preserve"> </w:t>
      </w:r>
      <w:r>
        <w:rPr>
          <w:rFonts w:hint="eastAsia" w:ascii="Times New Roman" w:hAnsi="Times New Roman" w:eastAsia="方正仿宋_GBK" w:cs="Times New Roman"/>
          <w:sz w:val="32"/>
          <w:szCs w:val="32"/>
        </w:rPr>
        <w:t>业绩条件</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本办法所指的高层次人才根据业绩条件分为五个层次。</w:t>
      </w:r>
    </w:p>
    <w:p>
      <w:pPr>
        <w:widowControl/>
        <w:snapToGrid w:val="0"/>
        <w:spacing w:line="560" w:lineRule="exact"/>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（一）第一层次人才</w:t>
      </w:r>
    </w:p>
    <w:p>
      <w:pPr>
        <w:widowControl/>
        <w:snapToGrid w:val="0"/>
        <w:spacing w:line="560" w:lineRule="exact"/>
        <w:ind w:firstLine="643"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 xml:space="preserve">1.人才工程入选者 </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（1）中国科学院院士、中国工程院院士、中国社会科学院学部委员；</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（2）国家引进海外高层次人才计划（千人计划）人选；</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（3）国家海外高层次人才引进计划顶尖人才与创新团队项目人选或国家高层次人才特殊支持计划杰出人才人选；</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（4）重庆英才·优秀科学家入选者。</w:t>
      </w:r>
    </w:p>
    <w:p>
      <w:pPr>
        <w:widowControl/>
        <w:snapToGrid w:val="0"/>
        <w:spacing w:line="560" w:lineRule="exact"/>
        <w:ind w:firstLine="643" w:firstLineChars="200"/>
        <w:rPr>
          <w:rFonts w:hint="eastAsia"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2.项目负责人或奖项获得者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（1）国家科学技术奖一等奖获得者；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（2）国家级教学成果特等奖获得者、中国高等学校科学研究优秀成果奖（人文社会科学/科学技术）特等奖获得者或国家级优秀教材特等奖获得者；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（3）社会公认的非政府的重要专项奖励：霍英东奖、何梁何利奖、孙冶方奖、蒋一苇奖、韬奋新闻奖、中宣部“五个一工程”奖、茅盾文学奖、李四光奖等奖项获得者前三名；</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（4）担任过国家重大研发计划、国家科技重大专项、国家自然科学基金（社科基金）重大项目等国家级重大科研项目或重大建设工程主要负责人。</w:t>
      </w:r>
    </w:p>
    <w:p>
      <w:pPr>
        <w:widowControl/>
        <w:snapToGrid w:val="0"/>
        <w:spacing w:line="560" w:lineRule="exact"/>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（二）第二层次人才</w:t>
      </w:r>
    </w:p>
    <w:p>
      <w:pPr>
        <w:widowControl/>
        <w:snapToGrid w:val="0"/>
        <w:spacing w:line="560" w:lineRule="exact"/>
        <w:ind w:firstLine="643" w:firstLineChars="200"/>
        <w:rPr>
          <w:rFonts w:hint="eastAsia"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 xml:space="preserve">1.人才工程入选者 </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（1）“新世纪百千万人才工程”国家级人选、国家教学名师、全国教书育人楷模；</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（2）国家海外高层次人才引进计划入选者；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（3）国家高层次人才特殊支持计划领军人才、青年拔尖人才项目入选者；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（4）中宣部文化名家暨“四个一批”人才、教育部“长江学者计划”特聘教授、青年长江学者；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（5）国家有突出贡献的中青年专家，国家卫生健康委</w:t>
      </w:r>
      <w:r>
        <w:rPr>
          <w:rFonts w:hint="eastAsia" w:ascii="Times New Roman" w:hAnsi="Times New Roman" w:eastAsia="方正仿宋_GBK" w:cs="Times New Roman"/>
          <w:sz w:val="32"/>
          <w:szCs w:val="32"/>
          <w:lang w:eastAsia="zh-CN"/>
        </w:rPr>
        <w:t>员会</w:t>
      </w:r>
      <w:r>
        <w:rPr>
          <w:rFonts w:hint="eastAsia" w:ascii="Times New Roman" w:hAnsi="Times New Roman" w:eastAsia="方正仿宋_GBK" w:cs="Times New Roman"/>
          <w:sz w:val="32"/>
          <w:szCs w:val="32"/>
        </w:rPr>
        <w:t>、农业农村部等有关部委有突出贡献的中青年专家；</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（6）教育部黄大年式教师团队负责人</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教育部职业教育教师教学创新团队负责人</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教育部</w:t>
      </w:r>
      <w:r>
        <w:rPr>
          <w:rFonts w:ascii="Times New Roman" w:hAnsi="Times New Roman" w:eastAsia="方正仿宋_GBK" w:cs="Times New Roman"/>
          <w:sz w:val="32"/>
          <w:szCs w:val="32"/>
        </w:rPr>
        <w:t>思想政治工作</w:t>
      </w:r>
      <w:r>
        <w:rPr>
          <w:rFonts w:hint="eastAsia" w:ascii="Times New Roman" w:hAnsi="Times New Roman" w:eastAsia="方正仿宋_GBK" w:cs="Times New Roman"/>
          <w:sz w:val="32"/>
          <w:szCs w:val="32"/>
        </w:rPr>
        <w:t>骨干队伍培育提升建设项目入选者；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7</w:t>
      </w:r>
      <w:r>
        <w:rPr>
          <w:rFonts w:hint="eastAsia" w:ascii="Times New Roman" w:hAnsi="Times New Roman" w:eastAsia="方正仿宋_GBK" w:cs="Times New Roman"/>
          <w:sz w:val="32"/>
          <w:szCs w:val="32"/>
        </w:rPr>
        <w:t>）重庆市学术技术带头人、重庆市原“两江学者”获得者；</w:t>
      </w:r>
    </w:p>
    <w:p>
      <w:pPr>
        <w:widowControl/>
        <w:snapToGrid w:val="0"/>
        <w:spacing w:line="56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8</w:t>
      </w:r>
      <w:r>
        <w:rPr>
          <w:rFonts w:hint="eastAsia" w:ascii="Times New Roman" w:hAnsi="Times New Roman" w:eastAsia="方正仿宋_GBK" w:cs="Times New Roman"/>
          <w:sz w:val="32"/>
          <w:szCs w:val="32"/>
        </w:rPr>
        <w:t>）重庆市引进海内外英才“鸿雁计划”A类人才。</w:t>
      </w:r>
    </w:p>
    <w:p>
      <w:pPr>
        <w:widowControl/>
        <w:snapToGrid w:val="0"/>
        <w:spacing w:line="560" w:lineRule="exact"/>
        <w:ind w:firstLine="643" w:firstLineChars="200"/>
        <w:jc w:val="left"/>
        <w:rPr>
          <w:rFonts w:hint="eastAsia"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2.项目或奖项等成果获得者</w:t>
      </w:r>
    </w:p>
    <w:p>
      <w:pPr>
        <w:widowControl/>
        <w:snapToGrid w:val="0"/>
        <w:spacing w:line="56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（1）国家科学技术奖二等奖获得者；</w:t>
      </w:r>
    </w:p>
    <w:p>
      <w:pPr>
        <w:widowControl/>
        <w:snapToGrid w:val="0"/>
        <w:spacing w:line="56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（2）国家级教学成果一等奖获得者、中国高等学校科学研究优秀成果奖（人文社会科学/科学技术）一等奖获得者、国家级优秀教材一等奖获得者或全国教育科学研究优秀成果一等奖获得者；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（3）“中华技能大奖”获得者；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（4）中国专利奖金奖、中国外观设计金奖；</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（5）省部级政府科学技术奖一等奖获得者</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省部级政府社科类一等奖获得者</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省部级政府发展研究奖一等奖获得者或省部级教学成果特等奖获得者；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（6）国家自科（社科）基金重点项目主持人、国家杰出青年科学基金主持人、国家优秀青年科学基金主持人或其他国家重点研发计划重点专项负责人；</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（7）国家重点学科带头人，国家重点实验室、工程技术研究中心主任；</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（8）学术论文经认定达到学校科研成果理论创新类成果一级且排名第</w:t>
      </w:r>
      <w:r>
        <w:rPr>
          <w:rFonts w:hint="eastAsia" w:ascii="Times New Roman" w:hAnsi="Times New Roman" w:eastAsia="方正仿宋_GBK" w:cs="Times New Roman"/>
          <w:sz w:val="32"/>
          <w:szCs w:val="32"/>
          <w:lang w:eastAsia="zh-CN"/>
        </w:rPr>
        <w:t>一</w:t>
      </w:r>
      <w:r>
        <w:rPr>
          <w:rFonts w:hint="eastAsia" w:ascii="Times New Roman" w:hAnsi="Times New Roman" w:eastAsia="方正仿宋_GBK" w:cs="Times New Roman"/>
          <w:sz w:val="32"/>
          <w:szCs w:val="32"/>
        </w:rPr>
        <w:t>（在《Nature》《Science》《中国科学》《中国社会科学》《求是》或本学科领域第一顶刊上发表学术论文）。</w:t>
      </w:r>
    </w:p>
    <w:p>
      <w:pPr>
        <w:widowControl/>
        <w:snapToGrid w:val="0"/>
        <w:spacing w:line="560" w:lineRule="exact"/>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（三）第三层次人才</w:t>
      </w:r>
    </w:p>
    <w:p>
      <w:pPr>
        <w:widowControl/>
        <w:snapToGrid w:val="0"/>
        <w:spacing w:line="560" w:lineRule="exact"/>
        <w:ind w:firstLine="643" w:firstLineChars="200"/>
        <w:rPr>
          <w:rFonts w:hint="eastAsia"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 xml:space="preserve">1.人才工程入选者 </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（1）国务院政府特殊津贴专家、教育部新时代职业学校名师（名匠）名校长入选者；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（2）重庆英才计划名家名师、创新创业领军人才(含创新创业示范团队负责人)、技术技能领军人才、青年拔尖人才项目入选者；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（3）重庆市原高层次人才特殊支持计划</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“特支计划”</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哲学社会科学领军人才、教学名师、科技创新创业人才、百千万工程领军人才、青年拔尖人才项目入选者；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（4）重庆市原“百名海外高层次人才集聚计划”入选者；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（5）重庆市引进海内外英才“鸿雁计划”B、C类人才；</w:t>
      </w:r>
    </w:p>
    <w:p>
      <w:pPr>
        <w:widowControl/>
        <w:snapToGrid w:val="0"/>
        <w:spacing w:line="56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（6）重庆市学术技术带头人后备人选；</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7</w:t>
      </w:r>
      <w:r>
        <w:rPr>
          <w:rFonts w:hint="eastAsia" w:ascii="Times New Roman" w:hAnsi="Times New Roman" w:eastAsia="方正仿宋_GBK" w:cs="Times New Roman"/>
          <w:sz w:val="32"/>
          <w:szCs w:val="32"/>
        </w:rPr>
        <w:t>）重庆市巴渝学者特聘教授；</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8</w:t>
      </w:r>
      <w:r>
        <w:rPr>
          <w:rFonts w:hint="eastAsia" w:ascii="Times New Roman" w:hAnsi="Times New Roman" w:eastAsia="方正仿宋_GBK" w:cs="Times New Roman"/>
          <w:sz w:val="32"/>
          <w:szCs w:val="32"/>
        </w:rPr>
        <w:t>）重庆市首席专家工作室负责人。</w:t>
      </w:r>
    </w:p>
    <w:p>
      <w:pPr>
        <w:widowControl/>
        <w:snapToGrid w:val="0"/>
        <w:spacing w:line="560" w:lineRule="exact"/>
        <w:ind w:firstLine="643" w:firstLineChars="200"/>
        <w:jc w:val="left"/>
        <w:rPr>
          <w:rFonts w:hint="eastAsia"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2.项目或奖项等成果获得者</w:t>
      </w:r>
    </w:p>
    <w:p>
      <w:pPr>
        <w:widowControl/>
        <w:snapToGrid w:val="0"/>
        <w:spacing w:line="56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（1）国家级教学成果二等奖获得者、中国高等学校科学研究优秀成果奖（人文社会科学/科学技术）二等奖获得者、国家级优秀教材二等奖获得者或全国教育科学研究优秀成果二等奖获得者。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）中国专利奖银奖获得者或中国外观设计银奖获得者；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）省部级政府科学技术奖二等奖获得者</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省部级政府社科类二等奖获得者</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省部级政府发展研究奖二等奖获得者</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省部级教学成果一等奖获得者或省部级教育科学研究优秀成果一等奖获得者；</w:t>
      </w:r>
    </w:p>
    <w:p>
      <w:pPr>
        <w:widowControl/>
        <w:snapToGrid w:val="0"/>
        <w:spacing w:line="560" w:lineRule="exact"/>
        <w:ind w:firstLine="640" w:firstLineChars="200"/>
      </w:pPr>
      <w:r>
        <w:rPr>
          <w:rFonts w:hint="eastAsia" w:ascii="Times New Roman" w:hAnsi="Times New Roman" w:eastAsia="方正仿宋_GBK" w:cs="Times New Roman"/>
          <w:sz w:val="32"/>
          <w:szCs w:val="32"/>
        </w:rPr>
        <w:t>（4）全国职业院校技能大赛教学能力比赛一等奖获得者。</w:t>
      </w:r>
    </w:p>
    <w:p>
      <w:pPr>
        <w:widowControl/>
        <w:snapToGrid w:val="0"/>
        <w:spacing w:line="560" w:lineRule="exact"/>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（四）第四层次人才</w:t>
      </w:r>
    </w:p>
    <w:p>
      <w:pPr>
        <w:widowControl/>
        <w:snapToGrid w:val="0"/>
        <w:spacing w:line="560" w:lineRule="exact"/>
        <w:ind w:firstLine="643" w:firstLineChars="200"/>
        <w:rPr>
          <w:rFonts w:hint="eastAsia"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 xml:space="preserve">1.人才工程入选者 </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（1）全国技术能手、全国青年岗位能手；</w:t>
      </w:r>
    </w:p>
    <w:p>
      <w:pPr>
        <w:widowControl/>
        <w:snapToGrid w:val="0"/>
        <w:spacing w:line="560" w:lineRule="exact"/>
        <w:ind w:firstLine="640" w:firstLineChars="200"/>
        <w:jc w:val="left"/>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（2）国家级技能大师工作室负责人；</w:t>
      </w:r>
    </w:p>
    <w:p>
      <w:pPr>
        <w:widowControl/>
        <w:snapToGrid w:val="0"/>
        <w:spacing w:line="56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（3）重庆市教书育人楷模、重庆市黄大年式教学团队负责人、重庆市职业院校教师教学创新团队负责人。</w:t>
      </w:r>
    </w:p>
    <w:p>
      <w:pPr>
        <w:widowControl/>
        <w:snapToGrid w:val="0"/>
        <w:spacing w:line="560" w:lineRule="exact"/>
        <w:ind w:firstLine="643" w:firstLineChars="200"/>
        <w:rPr>
          <w:rFonts w:hint="eastAsia"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2.项目或奖项等成果获得者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（1）世界技能大赛奖牌获得者或中华人民共和国职业技能大赛金牌获得者；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（2）国家自科（社科）基金面上（一般）项目主持人或国家自科（社科）基金青年项目负责人；</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（3）中国高等学校科学研究优秀成果奖（人文社会科学/科学技术）三等奖获得者</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全国教育科学研究优秀成果三等奖获得者</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省部级政府科学技术奖三等奖获得者</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省部级政府社科类三等奖获得者</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省部级政府发展研究奖三等奖获得者</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省部级教学成果二等奖获得者或省部级教育科学研究优秀成果二等奖获得者；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（4）主持科研项目单项到账经费，理工科类不低于人民币100万元，人文社科类不低于人民币</w:t>
      </w:r>
      <w:r>
        <w:rPr>
          <w:rFonts w:ascii="Times New Roman" w:hAnsi="Times New Roman" w:eastAsia="方正仿宋_GBK" w:cs="Times New Roman"/>
          <w:sz w:val="32"/>
          <w:szCs w:val="32"/>
        </w:rPr>
        <w:t>20</w:t>
      </w:r>
      <w:r>
        <w:rPr>
          <w:rFonts w:hint="eastAsia" w:ascii="Times New Roman" w:hAnsi="Times New Roman" w:eastAsia="方正仿宋_GBK" w:cs="Times New Roman"/>
          <w:sz w:val="32"/>
          <w:szCs w:val="32"/>
        </w:rPr>
        <w:t>万元。</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（5）省部级重点实验室、工程技术研究中心（平台）、应用技术推广中心、高校工程中心负责人。</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（6）全国职业院校技能大赛教学能力比赛二等奖获得者。</w:t>
      </w:r>
    </w:p>
    <w:p>
      <w:pPr>
        <w:widowControl/>
        <w:snapToGrid w:val="0"/>
        <w:spacing w:line="560" w:lineRule="exact"/>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（五）第五层次人才</w:t>
      </w:r>
    </w:p>
    <w:p>
      <w:pPr>
        <w:widowControl/>
        <w:snapToGrid w:val="0"/>
        <w:spacing w:line="560" w:lineRule="exact"/>
        <w:ind w:firstLine="643" w:firstLineChars="200"/>
        <w:rPr>
          <w:rFonts w:hint="eastAsia"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 xml:space="preserve">1.人才工程入选者 </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（1）最美巴渝工匠、重庆技能大师、全市技术能手、巴渝青年技能之星、重庆市青年岗位能手；</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（2）教授、优秀博士。</w:t>
      </w:r>
    </w:p>
    <w:p>
      <w:pPr>
        <w:widowControl/>
        <w:snapToGrid w:val="0"/>
        <w:spacing w:line="560" w:lineRule="exact"/>
        <w:ind w:firstLine="643" w:firstLineChars="200"/>
        <w:jc w:val="left"/>
        <w:rPr>
          <w:rFonts w:hint="eastAsia"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2.项目或奖项等成果获得者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（1）主持科研项目单项到账经费，理工科类不低于人民币50万元，人文社科类不低于人民币</w:t>
      </w:r>
      <w:r>
        <w:rPr>
          <w:rFonts w:ascii="Times New Roman" w:hAnsi="Times New Roman" w:eastAsia="方正仿宋_GBK" w:cs="Times New Roman"/>
          <w:sz w:val="32"/>
          <w:szCs w:val="32"/>
        </w:rPr>
        <w:t>10</w:t>
      </w:r>
      <w:r>
        <w:rPr>
          <w:rFonts w:hint="eastAsia" w:ascii="Times New Roman" w:hAnsi="Times New Roman" w:eastAsia="方正仿宋_GBK" w:cs="Times New Roman"/>
          <w:sz w:val="32"/>
          <w:szCs w:val="32"/>
        </w:rPr>
        <w:t>万元。</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（2）主持国家级科研项目1项</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主持国家级教学教改项目（含资源库、国家级规划教材、国家级课程）</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全国职业院校技能大赛</w:t>
      </w:r>
      <w:r>
        <w:rPr>
          <w:rFonts w:hint="eastAsia" w:ascii="Times New Roman" w:hAnsi="Times New Roman" w:eastAsia="方正仿宋_GBK" w:cs="Times New Roman"/>
          <w:color w:val="auto"/>
          <w:sz w:val="32"/>
          <w:szCs w:val="32"/>
        </w:rPr>
        <w:t>教学能力比赛三等奖获得者</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sz w:val="32"/>
          <w:szCs w:val="32"/>
        </w:rPr>
        <w:t>全国职业院校技能大赛</w:t>
      </w:r>
      <w:r>
        <w:rPr>
          <w:rFonts w:hint="eastAsia" w:ascii="Times New Roman" w:hAnsi="Times New Roman" w:eastAsia="方正仿宋_GBK" w:cs="Times New Roman"/>
          <w:color w:val="auto"/>
          <w:sz w:val="32"/>
          <w:szCs w:val="32"/>
        </w:rPr>
        <w:t>一等奖获得者。</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（3）省部级教学成果三等奖获得者或省部级教育科学研究优秀成果三等奖获得者。</w:t>
      </w:r>
    </w:p>
    <w:p>
      <w:pPr>
        <w:widowControl/>
        <w:snapToGrid w:val="0"/>
        <w:spacing w:line="56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第八条</w:t>
      </w:r>
      <w:r>
        <w:rPr>
          <w:rFonts w:hint="eastAsia" w:ascii="Times New Roman" w:hAnsi="Times New Roman" w:eastAsia="方正仿宋_GBK" w:cs="Times New Roman"/>
          <w:sz w:val="32"/>
          <w:szCs w:val="32"/>
        </w:rPr>
        <w:t xml:space="preserve"> 纳入市场化的高层次人才数量</w:t>
      </w:r>
    </w:p>
    <w:p>
      <w:pPr>
        <w:widowControl/>
        <w:snapToGrid w:val="0"/>
        <w:spacing w:line="56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（一）第一层次在申报高层次人才薪酬时不受名额限制。</w:t>
      </w:r>
    </w:p>
    <w:p>
      <w:pPr>
        <w:widowControl/>
        <w:snapToGrid w:val="0"/>
        <w:spacing w:line="56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（二）第二至第五层次人才，其总人数按学校具有高级专业技术职务或博士学位人数10%比例控制。在一个考核周期内首次评选时须预留不少于30%的名额，考核周期内第二年起每年不超过上级要求的10%分配名额。</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（三）当符合条件的申请人数较多时，原则上按人才层次从高到低进行遴选。</w:t>
      </w:r>
    </w:p>
    <w:p>
      <w:pPr>
        <w:widowControl/>
        <w:snapToGrid w:val="0"/>
        <w:spacing w:line="56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第九条</w:t>
      </w:r>
      <w:r>
        <w:rPr>
          <w:rFonts w:hint="eastAsia" w:ascii="Times New Roman" w:hAnsi="Times New Roman" w:eastAsia="方正仿宋_GBK" w:cs="Times New Roman"/>
          <w:sz w:val="32"/>
          <w:szCs w:val="32"/>
        </w:rPr>
        <w:t xml:space="preserve"> 遴选程序 </w:t>
      </w:r>
    </w:p>
    <w:p>
      <w:pPr>
        <w:widowControl/>
        <w:snapToGrid w:val="0"/>
        <w:spacing w:line="56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（一）发布遴选通知。根据当年遴选总体安排，学校发布申报通知，明确遴选数量、基本要求、考核任务、申报程序等。</w:t>
      </w:r>
    </w:p>
    <w:p>
      <w:pPr>
        <w:widowControl/>
        <w:snapToGrid w:val="0"/>
        <w:spacing w:line="56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 xml:space="preserve">（二）推荐申报。各二级单位按申报通知要求，在规定的时间开展推荐申报工作，经二级单位审查同意后向学校推荐（职能部门高层次人才纳入相应二级单位推荐）。 </w:t>
      </w:r>
    </w:p>
    <w:p>
      <w:pPr>
        <w:widowControl/>
        <w:snapToGrid w:val="0"/>
        <w:spacing w:line="56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（三）资格审查。在市场化薪酬领导小组指导下，人事处牵头会同党政办公室、组织部、教务处、科研与合作发展中心、学生工作部等二级单位对申报人进行资格审查。</w:t>
      </w:r>
    </w:p>
    <w:p>
      <w:pPr>
        <w:widowControl/>
        <w:snapToGrid w:val="0"/>
        <w:spacing w:line="56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 xml:space="preserve">（四）评审。学校市场化薪酬领导小组对申报人员进行评审。拟入选人员在全校进行公示。 </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（五）确定入选人员。公示无异议的人员，提交学校校长办公会审议</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党委会审定后上报，上级批复后确定最终的入选人员；学校对入选享受市场化薪酬的高层次人才发文聘任，并签订协议，协议内容包括人才层次、岗位职责任务和考核要求、薪酬发放标准以及协议变更、解除和终止等内容。</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（六）其他。对在考核期内取得高水平或标志性成果但未纳入高层次人才薪酬发放范围的专业技术人员，可采用“一事一议”的方式，用机动名额确定高层次人才类别和层次。</w:t>
      </w:r>
    </w:p>
    <w:p>
      <w:pPr>
        <w:pStyle w:val="4"/>
        <w:spacing w:before="0" w:after="0" w:line="560" w:lineRule="exact"/>
        <w:jc w:val="center"/>
        <w:rPr>
          <w:rFonts w:ascii="黑体" w:hAnsi="黑体" w:eastAsia="黑体" w:cs="黑体"/>
          <w:b w:val="0"/>
          <w:bCs w:val="0"/>
          <w:color w:val="000000" w:themeColor="text1"/>
          <w14:textFill>
            <w14:solidFill>
              <w14:schemeClr w14:val="tx1"/>
            </w14:solidFill>
          </w14:textFill>
        </w:rPr>
      </w:pPr>
      <w:r>
        <w:rPr>
          <w:rFonts w:hint="eastAsia" w:ascii="黑体" w:hAnsi="黑体" w:eastAsia="黑体" w:cs="黑体"/>
          <w:b w:val="0"/>
          <w:bCs w:val="0"/>
          <w:color w:val="000000" w:themeColor="text1"/>
          <w14:textFill>
            <w14:solidFill>
              <w14:schemeClr w14:val="tx1"/>
            </w14:solidFill>
          </w14:textFill>
        </w:rPr>
        <w:t>第三章  高层次人才的待遇与管理</w:t>
      </w:r>
    </w:p>
    <w:p>
      <w:pPr>
        <w:widowControl/>
        <w:snapToGrid w:val="0"/>
        <w:spacing w:line="56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第十条</w:t>
      </w:r>
      <w:r>
        <w:rPr>
          <w:rFonts w:hint="eastAsia" w:ascii="黑体" w:hAnsi="黑体" w:eastAsia="黑体"/>
          <w:b/>
          <w:sz w:val="30"/>
          <w:szCs w:val="30"/>
        </w:rPr>
        <w:t xml:space="preserve"> </w:t>
      </w:r>
      <w:r>
        <w:rPr>
          <w:rFonts w:hint="eastAsia" w:ascii="Times New Roman" w:hAnsi="Times New Roman" w:eastAsia="方正仿宋_GBK" w:cs="Times New Roman"/>
          <w:sz w:val="32"/>
          <w:szCs w:val="32"/>
        </w:rPr>
        <w:t>人才定位</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第一至第三层次人才，以引领专业群发展，组建打造高水平的教学科研创新团队（平台）建设为主要任务，面向学科前沿技术、职业教育等方面开展原创性</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创新性理论研究和技术技能应用研究，并做出突出贡献。第四至第五层次人才，主要以积极参与专业群建设、教学科研创新团队（平台）建设等为主要任务，并在科学研究、教育教学改革、服务地方经济发展等方面做出较大贡献。</w:t>
      </w:r>
    </w:p>
    <w:p>
      <w:pPr>
        <w:widowControl/>
        <w:snapToGrid w:val="0"/>
        <w:spacing w:line="56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第十一条</w:t>
      </w:r>
      <w:r>
        <w:rPr>
          <w:rFonts w:hint="eastAsia" w:ascii="黑体" w:hAnsi="黑体" w:eastAsia="黑体"/>
          <w:sz w:val="30"/>
          <w:szCs w:val="30"/>
        </w:rPr>
        <w:t xml:space="preserve"> </w:t>
      </w:r>
      <w:r>
        <w:rPr>
          <w:rFonts w:hint="eastAsia" w:ascii="Times New Roman" w:hAnsi="Times New Roman" w:eastAsia="方正仿宋_GBK" w:cs="Times New Roman"/>
          <w:sz w:val="32"/>
          <w:szCs w:val="32"/>
        </w:rPr>
        <w:t>职责和任务</w:t>
      </w:r>
    </w:p>
    <w:p>
      <w:pPr>
        <w:widowControl/>
        <w:snapToGrid w:val="0"/>
        <w:spacing w:line="560" w:lineRule="exact"/>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（一）基本工作任务</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1.第一层次人才不作硬性规定，其他层次人才每年至少应承担1门所属专业的教学任务且达到学校要求的最低教学课时数；</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2.考核期内指导5名青年教师，且每年不少于对5名学生的第二课堂指导（不包括毕业设计</w:t>
      </w:r>
      <w:r>
        <w:rPr>
          <w:rFonts w:hint="eastAsia" w:ascii="Times New Roman" w:hAnsi="Times New Roman" w:eastAsia="方正仿宋_GBK" w:cs="Times New Roman"/>
          <w:sz w:val="32"/>
          <w:szCs w:val="32"/>
          <w:lang w:eastAsia="zh-CN"/>
        </w:rPr>
        <w:t>、岗位</w:t>
      </w:r>
      <w:r>
        <w:rPr>
          <w:rFonts w:hint="eastAsia" w:ascii="Times New Roman" w:hAnsi="Times New Roman" w:eastAsia="方正仿宋_GBK" w:cs="Times New Roman"/>
          <w:sz w:val="32"/>
          <w:szCs w:val="32"/>
        </w:rPr>
        <w:t>实习）；</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3.考核期内每年应面向全校不少于2场的学科前沿技术、教育教学改革研究、人才发展等学术报告；</w:t>
      </w:r>
    </w:p>
    <w:p>
      <w:pPr>
        <w:widowControl/>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.承担校领导职责</w:t>
      </w:r>
      <w:r>
        <w:rPr>
          <w:rFonts w:ascii="Times New Roman" w:hAnsi="Times New Roman" w:eastAsia="方正仿宋_GBK" w:cs="Times New Roman"/>
          <w:sz w:val="32"/>
          <w:szCs w:val="32"/>
        </w:rPr>
        <w:t>的高层次人才</w:t>
      </w:r>
      <w:r>
        <w:rPr>
          <w:rFonts w:hint="eastAsia" w:ascii="Times New Roman" w:hAnsi="Times New Roman" w:eastAsia="方正仿宋_GBK" w:cs="Times New Roman"/>
          <w:sz w:val="32"/>
          <w:szCs w:val="32"/>
        </w:rPr>
        <w:t>对前2条可不作硬性规定，但必须按上级要求履职尽责，完成岗位管理。</w:t>
      </w:r>
    </w:p>
    <w:p>
      <w:pPr>
        <w:widowControl/>
        <w:snapToGrid w:val="0"/>
        <w:spacing w:line="560" w:lineRule="exact"/>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（二）突出业绩工作任务</w:t>
      </w:r>
    </w:p>
    <w:p>
      <w:pPr>
        <w:widowControl/>
        <w:snapToGrid w:val="0"/>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高层次人才在一个考核期内完成的突出业绩工作任务主要为附件1中考核工作任务。在一个考核期内，至少完成不低于本层次要求的业绩任务1项。</w:t>
      </w:r>
    </w:p>
    <w:p>
      <w:pPr>
        <w:widowControl/>
        <w:snapToGrid w:val="0"/>
        <w:spacing w:line="560" w:lineRule="exact"/>
        <w:ind w:firstLine="643"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 xml:space="preserve">第十二条 </w:t>
      </w:r>
      <w:r>
        <w:rPr>
          <w:rFonts w:hint="eastAsia" w:eastAsia="方正仿宋_GBK" w:cs="Times New Roman"/>
          <w:sz w:val="32"/>
          <w:szCs w:val="32"/>
        </w:rPr>
        <w:t>待遇标准</w:t>
      </w:r>
    </w:p>
    <w:p>
      <w:pPr>
        <w:topLinePunct/>
        <w:spacing w:line="560" w:lineRule="exact"/>
        <w:ind w:firstLine="640" w:firstLineChars="200"/>
        <w:contextualSpacing/>
        <w:rPr>
          <w:rFonts w:ascii="Times New Roman" w:hAnsi="Times New Roman" w:eastAsia="方正仿宋_GBK" w:cs="Times New Roman"/>
          <w:sz w:val="32"/>
          <w:szCs w:val="32"/>
        </w:rPr>
      </w:pPr>
      <w:r>
        <w:rPr>
          <w:rFonts w:hint="eastAsia" w:eastAsia="方正仿宋_GBK" w:cs="Times New Roman"/>
          <w:sz w:val="32"/>
          <w:szCs w:val="32"/>
        </w:rPr>
        <w:t>（一）高层次人才的市场化薪酬实行年薪制，由基础性年薪</w:t>
      </w:r>
      <w:r>
        <w:rPr>
          <w:rFonts w:hint="default" w:ascii="Times New Roman" w:hAnsi="Times New Roman" w:eastAsia="方正仿宋_GBK" w:cs="Times New Roman"/>
          <w:sz w:val="32"/>
          <w:szCs w:val="32"/>
        </w:rPr>
        <w:t>（70%）和激励性年薪（30%）构成，按税</w:t>
      </w:r>
      <w:r>
        <w:rPr>
          <w:rFonts w:hint="default" w:ascii="Times New Roman" w:hAnsi="Times New Roman" w:eastAsia="方正仿宋_GBK" w:cs="Times New Roman"/>
          <w:sz w:val="32"/>
          <w:szCs w:val="32"/>
          <w:lang w:eastAsia="zh-CN"/>
        </w:rPr>
        <w:t>后</w:t>
      </w:r>
      <w:r>
        <w:rPr>
          <w:rFonts w:hint="default" w:ascii="Times New Roman" w:hAnsi="Times New Roman" w:eastAsia="方正仿宋_GBK" w:cs="Times New Roman"/>
          <w:sz w:val="32"/>
          <w:szCs w:val="32"/>
        </w:rPr>
        <w:t>执行。根据上级相关规定，不纳入上级部门核定给学校的绩效工资总量范围管理。</w:t>
      </w:r>
    </w:p>
    <w:p>
      <w:pPr>
        <w:topLinePunct/>
        <w:spacing w:line="560" w:lineRule="exact"/>
        <w:ind w:firstLine="640" w:firstLineChars="200"/>
        <w:contextualSpacing/>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（二）第一、二层次人才市场化薪酬实行一事一议。第三至五层次人才市场化薪酬分别对应为人民币55万元、40万元和25万元。</w:t>
      </w:r>
    </w:p>
    <w:p>
      <w:pPr>
        <w:topLinePunct/>
        <w:spacing w:line="560"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第</w:t>
      </w:r>
      <w:r>
        <w:rPr>
          <w:rFonts w:hint="eastAsia" w:ascii="Times New Roman" w:hAnsi="Times New Roman" w:eastAsia="方正仿宋_GBK" w:cs="Times New Roman"/>
          <w:b/>
          <w:sz w:val="32"/>
          <w:szCs w:val="32"/>
        </w:rPr>
        <w:t>十三</w:t>
      </w:r>
      <w:r>
        <w:rPr>
          <w:rFonts w:ascii="Times New Roman" w:hAnsi="Times New Roman" w:eastAsia="方正仿宋_GBK" w:cs="Times New Roman"/>
          <w:b/>
          <w:sz w:val="32"/>
          <w:szCs w:val="32"/>
        </w:rPr>
        <w:t xml:space="preserve">条 </w:t>
      </w:r>
      <w:r>
        <w:rPr>
          <w:rFonts w:hint="eastAsia" w:eastAsia="方正仿宋_GBK" w:cs="Times New Roman"/>
          <w:sz w:val="32"/>
          <w:szCs w:val="32"/>
        </w:rPr>
        <w:t>考核方式</w:t>
      </w:r>
    </w:p>
    <w:p>
      <w:pPr>
        <w:topLinePunct/>
        <w:spacing w:line="560" w:lineRule="exact"/>
        <w:ind w:firstLine="640" w:firstLineChars="200"/>
        <w:contextualSpacing/>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w:t>
      </w:r>
      <w:r>
        <w:rPr>
          <w:rFonts w:ascii="Times New Roman" w:hAnsi="Times New Roman" w:eastAsia="方正仿宋_GBK" w:cs="Times New Roman"/>
          <w:sz w:val="32"/>
          <w:szCs w:val="32"/>
        </w:rPr>
        <w:t>学校对实行</w:t>
      </w:r>
      <w:r>
        <w:rPr>
          <w:rFonts w:hint="eastAsia" w:eastAsia="方正仿宋_GBK" w:cs="Times New Roman"/>
          <w:sz w:val="32"/>
          <w:szCs w:val="32"/>
        </w:rPr>
        <w:t>市场化薪酬</w:t>
      </w:r>
      <w:r>
        <w:rPr>
          <w:rFonts w:ascii="Times New Roman" w:hAnsi="Times New Roman" w:eastAsia="方正仿宋_GBK" w:cs="Times New Roman"/>
          <w:sz w:val="32"/>
          <w:szCs w:val="32"/>
        </w:rPr>
        <w:t>的高层次人才进行目标考核和协议约束管理，</w:t>
      </w:r>
      <w:r>
        <w:rPr>
          <w:rFonts w:hint="eastAsia" w:ascii="Times New Roman" w:hAnsi="Times New Roman" w:eastAsia="方正仿宋_GBK" w:cs="Times New Roman"/>
          <w:sz w:val="32"/>
          <w:szCs w:val="32"/>
        </w:rPr>
        <w:t>协议中约定</w:t>
      </w:r>
      <w:r>
        <w:rPr>
          <w:rFonts w:ascii="Times New Roman" w:hAnsi="Times New Roman" w:eastAsia="方正仿宋_GBK" w:cs="Times New Roman"/>
          <w:sz w:val="32"/>
          <w:szCs w:val="32"/>
        </w:rPr>
        <w:t>中期和聘期考核任务；高层次人才所在</w:t>
      </w:r>
      <w:r>
        <w:rPr>
          <w:rFonts w:hint="eastAsia" w:ascii="Times New Roman" w:hAnsi="Times New Roman" w:eastAsia="方正仿宋_GBK" w:cs="Times New Roman"/>
          <w:sz w:val="32"/>
          <w:szCs w:val="32"/>
        </w:rPr>
        <w:t>二级</w:t>
      </w:r>
      <w:r>
        <w:rPr>
          <w:rFonts w:ascii="Times New Roman" w:hAnsi="Times New Roman" w:eastAsia="方正仿宋_GBK" w:cs="Times New Roman"/>
          <w:sz w:val="32"/>
          <w:szCs w:val="32"/>
        </w:rPr>
        <w:t>单位负责</w:t>
      </w:r>
      <w:r>
        <w:rPr>
          <w:rFonts w:hint="eastAsia" w:ascii="Times New Roman" w:hAnsi="Times New Roman" w:eastAsia="方正仿宋_GBK" w:cs="Times New Roman"/>
          <w:sz w:val="32"/>
          <w:szCs w:val="32"/>
        </w:rPr>
        <w:t>其</w:t>
      </w:r>
      <w:r>
        <w:rPr>
          <w:rFonts w:ascii="Times New Roman" w:hAnsi="Times New Roman" w:eastAsia="方正仿宋_GBK" w:cs="Times New Roman"/>
          <w:sz w:val="32"/>
          <w:szCs w:val="32"/>
        </w:rPr>
        <w:t>日常考评和工作监管。</w:t>
      </w:r>
    </w:p>
    <w:p>
      <w:pPr>
        <w:topLinePunct/>
        <w:spacing w:line="560" w:lineRule="exact"/>
        <w:ind w:firstLine="640" w:firstLineChars="200"/>
        <w:contextualSpacing/>
        <w:rPr>
          <w:rFonts w:eastAsia="方正仿宋_GBK" w:cs="Times New Roman"/>
          <w:sz w:val="32"/>
          <w:szCs w:val="32"/>
        </w:rPr>
      </w:pPr>
      <w:r>
        <w:rPr>
          <w:rFonts w:hint="eastAsia" w:eastAsia="方正仿宋_GBK" w:cs="Times New Roman"/>
          <w:sz w:val="32"/>
          <w:szCs w:val="32"/>
        </w:rPr>
        <w:t>（二）对</w:t>
      </w:r>
      <w:r>
        <w:rPr>
          <w:rFonts w:eastAsia="方正仿宋_GBK" w:cs="Times New Roman"/>
          <w:sz w:val="32"/>
          <w:szCs w:val="32"/>
        </w:rPr>
        <w:t>实行年薪制的高层次人才</w:t>
      </w:r>
      <w:r>
        <w:rPr>
          <w:rFonts w:hint="eastAsia" w:eastAsia="方正仿宋_GBK" w:cs="Times New Roman"/>
          <w:sz w:val="32"/>
          <w:szCs w:val="32"/>
        </w:rPr>
        <w:t>实行</w:t>
      </w:r>
      <w:r>
        <w:rPr>
          <w:rFonts w:eastAsia="方正仿宋_GBK" w:cs="Times New Roman"/>
          <w:sz w:val="32"/>
          <w:szCs w:val="32"/>
        </w:rPr>
        <w:t>聘期制</w:t>
      </w:r>
      <w:r>
        <w:rPr>
          <w:rFonts w:hint="eastAsia" w:eastAsia="方正仿宋_GBK" w:cs="Times New Roman"/>
          <w:sz w:val="32"/>
          <w:szCs w:val="32"/>
        </w:rPr>
        <w:t>，</w:t>
      </w:r>
      <w:r>
        <w:rPr>
          <w:rFonts w:eastAsia="方正仿宋_GBK" w:cs="Times New Roman"/>
          <w:sz w:val="32"/>
          <w:szCs w:val="32"/>
        </w:rPr>
        <w:t>一个聘期为</w:t>
      </w:r>
      <w:r>
        <w:rPr>
          <w:rFonts w:hint="eastAsia" w:eastAsia="方正仿宋_GBK" w:cs="Times New Roman"/>
          <w:sz w:val="32"/>
          <w:szCs w:val="32"/>
          <w:lang w:eastAsia="zh-CN"/>
        </w:rPr>
        <w:t>三</w:t>
      </w:r>
      <w:r>
        <w:rPr>
          <w:rFonts w:eastAsia="方正仿宋_GBK" w:cs="Times New Roman"/>
          <w:sz w:val="32"/>
          <w:szCs w:val="32"/>
        </w:rPr>
        <w:t>年</w:t>
      </w:r>
      <w:r>
        <w:rPr>
          <w:rFonts w:hint="eastAsia" w:eastAsia="方正仿宋_GBK" w:cs="Times New Roman"/>
          <w:sz w:val="32"/>
          <w:szCs w:val="32"/>
        </w:rPr>
        <w:t>，</w:t>
      </w:r>
      <w:r>
        <w:rPr>
          <w:rFonts w:eastAsia="方正仿宋_GBK" w:cs="Times New Roman"/>
          <w:sz w:val="32"/>
          <w:szCs w:val="32"/>
        </w:rPr>
        <w:t>采用中期考核和聘期结束考核相</w:t>
      </w:r>
      <w:r>
        <w:rPr>
          <w:rFonts w:hint="eastAsia" w:eastAsia="方正仿宋_GBK" w:cs="Times New Roman"/>
          <w:sz w:val="32"/>
          <w:szCs w:val="32"/>
        </w:rPr>
        <w:t>结合</w:t>
      </w:r>
      <w:r>
        <w:rPr>
          <w:rFonts w:eastAsia="方正仿宋_GBK" w:cs="Times New Roman"/>
          <w:sz w:val="32"/>
          <w:szCs w:val="32"/>
        </w:rPr>
        <w:t>。</w:t>
      </w:r>
    </w:p>
    <w:p>
      <w:pPr>
        <w:topLinePunct/>
        <w:spacing w:line="560" w:lineRule="exact"/>
        <w:ind w:firstLine="643" w:firstLineChars="200"/>
        <w:contextualSpacing/>
        <w:rPr>
          <w:rFonts w:eastAsia="方正仿宋_GBK" w:cs="Times New Roman"/>
          <w:sz w:val="32"/>
          <w:szCs w:val="32"/>
        </w:rPr>
      </w:pPr>
      <w:r>
        <w:rPr>
          <w:rFonts w:hint="eastAsia" w:eastAsia="方正仿宋_GBK" w:cs="Times New Roman"/>
          <w:b/>
          <w:bCs/>
          <w:sz w:val="32"/>
          <w:szCs w:val="32"/>
        </w:rPr>
        <w:t>第</w:t>
      </w:r>
      <w:r>
        <w:rPr>
          <w:rFonts w:eastAsia="方正仿宋_GBK" w:cs="Times New Roman"/>
          <w:b/>
          <w:bCs/>
          <w:sz w:val="32"/>
          <w:szCs w:val="32"/>
        </w:rPr>
        <w:t>十四条</w:t>
      </w:r>
      <w:r>
        <w:rPr>
          <w:rFonts w:hint="eastAsia" w:eastAsia="方正仿宋_GBK" w:cs="Times New Roman"/>
          <w:sz w:val="32"/>
          <w:szCs w:val="32"/>
        </w:rPr>
        <w:t xml:space="preserve"> 发放</w:t>
      </w:r>
      <w:r>
        <w:rPr>
          <w:rFonts w:eastAsia="方正仿宋_GBK" w:cs="Times New Roman"/>
          <w:sz w:val="32"/>
          <w:szCs w:val="32"/>
        </w:rPr>
        <w:t>标准</w:t>
      </w:r>
    </w:p>
    <w:p>
      <w:pPr>
        <w:topLinePunct/>
        <w:spacing w:line="560" w:lineRule="exact"/>
        <w:ind w:firstLine="640" w:firstLineChars="200"/>
        <w:contextualSpacing/>
        <w:rPr>
          <w:rFonts w:eastAsia="方正仿宋_GBK" w:cs="Times New Roman"/>
          <w:bCs/>
          <w:sz w:val="32"/>
          <w:szCs w:val="32"/>
        </w:rPr>
      </w:pPr>
      <w:r>
        <w:rPr>
          <w:rFonts w:hint="eastAsia" w:eastAsia="方正仿宋_GBK" w:cs="Times New Roman"/>
          <w:b w:val="0"/>
          <w:bCs/>
          <w:sz w:val="32"/>
          <w:szCs w:val="32"/>
        </w:rPr>
        <w:t>（一）</w:t>
      </w:r>
      <w:r>
        <w:rPr>
          <w:rFonts w:hint="eastAsia" w:eastAsia="方正仿宋_GBK" w:cs="Times New Roman"/>
          <w:bCs/>
          <w:sz w:val="32"/>
          <w:szCs w:val="32"/>
        </w:rPr>
        <w:t>高层次人才薪酬的基础年薪部分</w:t>
      </w:r>
      <w:r>
        <w:rPr>
          <w:rFonts w:ascii="Times New Roman" w:hAnsi="Times New Roman" w:eastAsia="方正仿宋_GBK" w:cs="Times New Roman"/>
          <w:bCs/>
          <w:sz w:val="32"/>
          <w:szCs w:val="32"/>
        </w:rPr>
        <w:t>按月发放（每年12个月），</w:t>
      </w:r>
      <w:r>
        <w:rPr>
          <w:rFonts w:hint="eastAsia" w:eastAsia="方正仿宋_GBK" w:cs="Times New Roman"/>
          <w:bCs/>
          <w:sz w:val="32"/>
          <w:szCs w:val="32"/>
        </w:rPr>
        <w:t>激励性部分根据考核</w:t>
      </w:r>
      <w:r>
        <w:rPr>
          <w:rFonts w:eastAsia="方正仿宋_GBK" w:cs="Times New Roman"/>
          <w:bCs/>
          <w:sz w:val="32"/>
          <w:szCs w:val="32"/>
        </w:rPr>
        <w:t>结果进行发放。</w:t>
      </w:r>
    </w:p>
    <w:p>
      <w:pPr>
        <w:topLinePunct/>
        <w:spacing w:line="560" w:lineRule="exact"/>
        <w:ind w:firstLine="640" w:firstLineChars="200"/>
        <w:contextualSpacing/>
        <w:rPr>
          <w:rFonts w:ascii="Times New Roman" w:hAnsi="Times New Roman" w:eastAsia="方正仿宋_GBK" w:cs="Times New Roman"/>
          <w:sz w:val="32"/>
          <w:szCs w:val="32"/>
        </w:rPr>
      </w:pPr>
      <w:r>
        <w:rPr>
          <w:rFonts w:hint="eastAsia" w:eastAsia="方正仿宋_GBK" w:cs="Times New Roman"/>
          <w:bCs/>
          <w:sz w:val="32"/>
          <w:szCs w:val="32"/>
        </w:rPr>
        <w:t>（二）中期考核合格者，可申请发放</w:t>
      </w:r>
      <w:r>
        <w:rPr>
          <w:rFonts w:hint="default" w:ascii="Times New Roman" w:hAnsi="Times New Roman" w:eastAsia="方正仿宋_GBK" w:cs="Times New Roman"/>
          <w:bCs/>
          <w:sz w:val="32"/>
          <w:szCs w:val="32"/>
        </w:rPr>
        <w:t>前2年激励性年薪；中期考核不合格者，解除市场化薪酬聘用协议，中止市场化薪酬资格。聘期结束考核合格者，一次性发放所有剩余激励性</w:t>
      </w:r>
      <w:r>
        <w:rPr>
          <w:rFonts w:hint="default" w:ascii="Times New Roman" w:hAnsi="Times New Roman" w:eastAsia="方正仿宋_GBK" w:cs="Times New Roman"/>
          <w:sz w:val="32"/>
          <w:szCs w:val="32"/>
        </w:rPr>
        <w:t>年薪。</w:t>
      </w:r>
    </w:p>
    <w:p>
      <w:pPr>
        <w:topLinePunct/>
        <w:spacing w:line="560" w:lineRule="exact"/>
        <w:ind w:firstLine="640" w:firstLineChars="200"/>
        <w:contextualSpacing/>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（三）在聘期内，完成入选层次以上层次聘期考核任务的，从完成任务当年起，按新层次发放对应薪酬。</w:t>
      </w:r>
    </w:p>
    <w:p>
      <w:pPr>
        <w:topLinePunct/>
        <w:spacing w:line="560" w:lineRule="exact"/>
        <w:ind w:firstLine="640" w:firstLineChars="200"/>
        <w:contextualSpacing/>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（四）在一个</w:t>
      </w:r>
      <w:r>
        <w:rPr>
          <w:rFonts w:ascii="Times New Roman" w:hAnsi="Times New Roman" w:eastAsia="方正仿宋_GBK" w:cs="Times New Roman"/>
          <w:sz w:val="32"/>
          <w:szCs w:val="32"/>
        </w:rPr>
        <w:t>考核周期内有下列情形之一者，停发</w:t>
      </w:r>
      <w:r>
        <w:rPr>
          <w:rFonts w:hint="default" w:eastAsia="方正仿宋_GBK" w:cs="Times New Roman"/>
          <w:sz w:val="32"/>
          <w:szCs w:val="32"/>
        </w:rPr>
        <w:t>剩余</w:t>
      </w:r>
      <w:r>
        <w:rPr>
          <w:rFonts w:ascii="Times New Roman" w:hAnsi="Times New Roman" w:eastAsia="方正仿宋_GBK" w:cs="Times New Roman"/>
          <w:sz w:val="32"/>
          <w:szCs w:val="32"/>
        </w:rPr>
        <w:t>报酬、解除协议，</w:t>
      </w:r>
      <w:r>
        <w:rPr>
          <w:rFonts w:hint="eastAsia" w:ascii="Times New Roman" w:hAnsi="Times New Roman" w:eastAsia="方正仿宋_GBK" w:cs="Times New Roman"/>
          <w:sz w:val="32"/>
          <w:szCs w:val="32"/>
        </w:rPr>
        <w:t>须向</w:t>
      </w:r>
      <w:r>
        <w:rPr>
          <w:rFonts w:ascii="Times New Roman" w:hAnsi="Times New Roman" w:eastAsia="方正仿宋_GBK" w:cs="Times New Roman"/>
          <w:sz w:val="32"/>
          <w:szCs w:val="32"/>
        </w:rPr>
        <w:t>学校退回预发部分</w:t>
      </w:r>
      <w:r>
        <w:rPr>
          <w:rFonts w:hint="default" w:ascii="Times New Roman" w:hAnsi="Times New Roman" w:eastAsia="方正仿宋_GBK" w:cs="Times New Roman"/>
          <w:sz w:val="32"/>
          <w:szCs w:val="32"/>
        </w:rPr>
        <w:t>10%</w:t>
      </w:r>
      <w:r>
        <w:rPr>
          <w:rFonts w:ascii="Times New Roman" w:hAnsi="Times New Roman" w:eastAsia="方正仿宋_GBK" w:cs="Times New Roman"/>
          <w:sz w:val="32"/>
          <w:szCs w:val="32"/>
        </w:rPr>
        <w:t>的报酬：</w:t>
      </w:r>
    </w:p>
    <w:p>
      <w:pPr>
        <w:topLinePunct/>
        <w:spacing w:line="560" w:lineRule="exact"/>
        <w:ind w:firstLine="640" w:firstLineChars="200"/>
        <w:contextualSpacing/>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w:t>
      </w:r>
      <w:r>
        <w:rPr>
          <w:rFonts w:hint="eastAsia" w:ascii="Times New Roman" w:hAnsi="Times New Roman" w:eastAsia="方正仿宋_GBK" w:cs="Times New Roman"/>
          <w:sz w:val="32"/>
          <w:szCs w:val="32"/>
          <w:lang w:eastAsia="zh-CN"/>
        </w:rPr>
        <w:t>有</w:t>
      </w:r>
      <w:r>
        <w:rPr>
          <w:rFonts w:hint="eastAsia" w:ascii="Times New Roman" w:hAnsi="Times New Roman" w:eastAsia="方正仿宋_GBK" w:cs="Times New Roman"/>
          <w:sz w:val="32"/>
          <w:szCs w:val="32"/>
        </w:rPr>
        <w:t>师德</w:t>
      </w:r>
      <w:r>
        <w:rPr>
          <w:rFonts w:ascii="Times New Roman" w:hAnsi="Times New Roman" w:eastAsia="方正仿宋_GBK" w:cs="Times New Roman"/>
          <w:sz w:val="32"/>
          <w:szCs w:val="32"/>
        </w:rPr>
        <w:t>师风</w:t>
      </w:r>
      <w:r>
        <w:rPr>
          <w:rFonts w:hint="eastAsia" w:ascii="Times New Roman" w:hAnsi="Times New Roman" w:eastAsia="方正仿宋_GBK" w:cs="Times New Roman"/>
          <w:sz w:val="32"/>
          <w:szCs w:val="32"/>
          <w:lang w:eastAsia="zh-CN"/>
        </w:rPr>
        <w:t>负面影响</w:t>
      </w:r>
      <w:r>
        <w:rPr>
          <w:rFonts w:hint="eastAsia" w:ascii="Times New Roman" w:hAnsi="Times New Roman" w:eastAsia="方正仿宋_GBK" w:cs="Times New Roman"/>
          <w:sz w:val="32"/>
          <w:szCs w:val="32"/>
        </w:rPr>
        <w:t>者；</w:t>
      </w:r>
    </w:p>
    <w:p>
      <w:pPr>
        <w:topLinePunct/>
        <w:spacing w:line="560" w:lineRule="exact"/>
        <w:ind w:firstLine="640" w:firstLineChars="200"/>
        <w:contextualSpacing/>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2.未</w:t>
      </w:r>
      <w:r>
        <w:rPr>
          <w:rFonts w:ascii="Times New Roman" w:hAnsi="Times New Roman" w:eastAsia="方正仿宋_GBK" w:cs="Times New Roman"/>
          <w:sz w:val="32"/>
          <w:szCs w:val="32"/>
        </w:rPr>
        <w:t>完成工作任务且本人提出解除</w:t>
      </w:r>
      <w:r>
        <w:rPr>
          <w:rFonts w:hint="eastAsia" w:ascii="Times New Roman" w:hAnsi="Times New Roman" w:eastAsia="方正仿宋_GBK" w:cs="Times New Roman"/>
          <w:sz w:val="32"/>
          <w:szCs w:val="32"/>
        </w:rPr>
        <w:t>市场化</w:t>
      </w:r>
      <w:r>
        <w:rPr>
          <w:rFonts w:ascii="Times New Roman" w:hAnsi="Times New Roman" w:eastAsia="方正仿宋_GBK" w:cs="Times New Roman"/>
          <w:sz w:val="32"/>
          <w:szCs w:val="32"/>
        </w:rPr>
        <w:t>薪酬聘用协议并经学校批准</w:t>
      </w:r>
      <w:r>
        <w:rPr>
          <w:rFonts w:hint="eastAsia" w:ascii="Times New Roman" w:hAnsi="Times New Roman" w:eastAsia="方正仿宋_GBK" w:cs="Times New Roman"/>
          <w:sz w:val="32"/>
          <w:szCs w:val="32"/>
        </w:rPr>
        <w:t>者（不含在</w:t>
      </w:r>
      <w:r>
        <w:rPr>
          <w:rFonts w:ascii="Times New Roman" w:hAnsi="Times New Roman" w:eastAsia="方正仿宋_GBK" w:cs="Times New Roman"/>
          <w:sz w:val="32"/>
          <w:szCs w:val="32"/>
        </w:rPr>
        <w:t>聘期因</w:t>
      </w:r>
      <w:r>
        <w:rPr>
          <w:rFonts w:hint="eastAsia" w:ascii="Times New Roman" w:hAnsi="Times New Roman" w:eastAsia="方正仿宋_GBK" w:cs="Times New Roman"/>
          <w:sz w:val="32"/>
          <w:szCs w:val="32"/>
        </w:rPr>
        <w:t>身体</w:t>
      </w:r>
      <w:r>
        <w:rPr>
          <w:rFonts w:ascii="Times New Roman" w:hAnsi="Times New Roman" w:eastAsia="方正仿宋_GBK" w:cs="Times New Roman"/>
          <w:sz w:val="32"/>
          <w:szCs w:val="32"/>
        </w:rPr>
        <w:t>出现</w:t>
      </w:r>
      <w:r>
        <w:rPr>
          <w:rFonts w:hint="eastAsia" w:ascii="Times New Roman" w:hAnsi="Times New Roman" w:eastAsia="方正仿宋_GBK" w:cs="Times New Roman"/>
          <w:sz w:val="32"/>
          <w:szCs w:val="32"/>
        </w:rPr>
        <w:t>重大疾病者）。</w:t>
      </w:r>
    </w:p>
    <w:p>
      <w:pPr>
        <w:topLinePunct/>
        <w:spacing w:line="560" w:lineRule="exact"/>
        <w:ind w:firstLine="640" w:firstLineChars="200"/>
        <w:contextualSpacing/>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（五）在一</w:t>
      </w:r>
      <w:r>
        <w:rPr>
          <w:rFonts w:ascii="Times New Roman" w:hAnsi="Times New Roman" w:eastAsia="方正仿宋_GBK" w:cs="Times New Roman"/>
          <w:sz w:val="32"/>
          <w:szCs w:val="32"/>
        </w:rPr>
        <w:t>个考核</w:t>
      </w:r>
      <w:r>
        <w:rPr>
          <w:rFonts w:hint="eastAsia" w:ascii="Times New Roman" w:hAnsi="Times New Roman" w:eastAsia="方正仿宋_GBK" w:cs="Times New Roman"/>
          <w:sz w:val="32"/>
          <w:szCs w:val="32"/>
        </w:rPr>
        <w:t>周</w:t>
      </w:r>
      <w:r>
        <w:rPr>
          <w:rFonts w:ascii="Times New Roman" w:hAnsi="Times New Roman" w:eastAsia="方正仿宋_GBK" w:cs="Times New Roman"/>
          <w:sz w:val="32"/>
          <w:szCs w:val="32"/>
        </w:rPr>
        <w:t>期不能完成任务</w:t>
      </w:r>
      <w:r>
        <w:rPr>
          <w:rFonts w:hint="eastAsia" w:ascii="Times New Roman" w:hAnsi="Times New Roman" w:eastAsia="方正仿宋_GBK" w:cs="Times New Roman"/>
          <w:sz w:val="32"/>
          <w:szCs w:val="32"/>
        </w:rPr>
        <w:t>的高层次</w:t>
      </w:r>
      <w:r>
        <w:rPr>
          <w:rFonts w:ascii="Times New Roman" w:hAnsi="Times New Roman" w:eastAsia="方正仿宋_GBK" w:cs="Times New Roman"/>
          <w:sz w:val="32"/>
          <w:szCs w:val="32"/>
        </w:rPr>
        <w:t>人才，</w:t>
      </w:r>
      <w:r>
        <w:rPr>
          <w:rFonts w:hint="eastAsia" w:ascii="Times New Roman" w:hAnsi="Times New Roman" w:eastAsia="方正仿宋_GBK" w:cs="Times New Roman"/>
          <w:sz w:val="32"/>
          <w:szCs w:val="32"/>
        </w:rPr>
        <w:t>三年</w:t>
      </w:r>
      <w:r>
        <w:rPr>
          <w:rFonts w:ascii="Times New Roman" w:hAnsi="Times New Roman" w:eastAsia="方正仿宋_GBK" w:cs="Times New Roman"/>
          <w:sz w:val="32"/>
          <w:szCs w:val="32"/>
        </w:rPr>
        <w:t>内不得再申报此类项目</w:t>
      </w:r>
      <w:r>
        <w:rPr>
          <w:rFonts w:hint="eastAsia" w:ascii="Times New Roman" w:hAnsi="Times New Roman" w:eastAsia="方正仿宋_GBK" w:cs="Times New Roman"/>
          <w:sz w:val="32"/>
          <w:szCs w:val="32"/>
        </w:rPr>
        <w:t>，且</w:t>
      </w:r>
      <w:r>
        <w:rPr>
          <w:rFonts w:ascii="Times New Roman" w:hAnsi="Times New Roman" w:eastAsia="方正仿宋_GBK" w:cs="Times New Roman"/>
          <w:sz w:val="32"/>
          <w:szCs w:val="32"/>
        </w:rPr>
        <w:t>只</w:t>
      </w:r>
      <w:r>
        <w:rPr>
          <w:rFonts w:hint="eastAsia" w:ascii="Times New Roman" w:hAnsi="Times New Roman" w:eastAsia="方正仿宋_GBK" w:cs="Times New Roman"/>
          <w:sz w:val="32"/>
          <w:szCs w:val="32"/>
        </w:rPr>
        <w:t>能</w:t>
      </w:r>
      <w:r>
        <w:rPr>
          <w:rFonts w:ascii="Times New Roman" w:hAnsi="Times New Roman" w:eastAsia="方正仿宋_GBK" w:cs="Times New Roman"/>
          <w:sz w:val="32"/>
          <w:szCs w:val="32"/>
        </w:rPr>
        <w:t>享受基础性年薪</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超出</w:t>
      </w:r>
      <w:r>
        <w:rPr>
          <w:rFonts w:hint="eastAsia" w:ascii="Times New Roman" w:hAnsi="Times New Roman" w:eastAsia="方正仿宋_GBK" w:cs="Times New Roman"/>
          <w:sz w:val="32"/>
          <w:szCs w:val="32"/>
        </w:rPr>
        <w:t>享受基础</w:t>
      </w:r>
      <w:r>
        <w:rPr>
          <w:rFonts w:ascii="Times New Roman" w:hAnsi="Times New Roman" w:eastAsia="方正仿宋_GBK" w:cs="Times New Roman"/>
          <w:sz w:val="32"/>
          <w:szCs w:val="32"/>
        </w:rPr>
        <w:t>年薪</w:t>
      </w:r>
      <w:r>
        <w:rPr>
          <w:rFonts w:hint="eastAsia" w:ascii="Times New Roman" w:hAnsi="Times New Roman" w:eastAsia="方正仿宋_GBK" w:cs="Times New Roman"/>
          <w:sz w:val="32"/>
          <w:szCs w:val="32"/>
        </w:rPr>
        <w:t>待遇</w:t>
      </w:r>
      <w:r>
        <w:rPr>
          <w:rFonts w:ascii="Times New Roman" w:hAnsi="Times New Roman" w:eastAsia="方正仿宋_GBK" w:cs="Times New Roman"/>
          <w:sz w:val="32"/>
          <w:szCs w:val="32"/>
        </w:rPr>
        <w:t>部分须</w:t>
      </w:r>
      <w:r>
        <w:rPr>
          <w:rFonts w:hint="eastAsia" w:ascii="Times New Roman" w:hAnsi="Times New Roman" w:eastAsia="方正仿宋_GBK" w:cs="Times New Roman"/>
          <w:sz w:val="32"/>
          <w:szCs w:val="32"/>
        </w:rPr>
        <w:t>在</w:t>
      </w:r>
      <w:r>
        <w:rPr>
          <w:rFonts w:ascii="Times New Roman" w:hAnsi="Times New Roman" w:eastAsia="方正仿宋_GBK" w:cs="Times New Roman"/>
          <w:sz w:val="32"/>
          <w:szCs w:val="32"/>
        </w:rPr>
        <w:t>考核周期结束的三个月内向学</w:t>
      </w:r>
      <w:r>
        <w:rPr>
          <w:rFonts w:hint="eastAsia" w:ascii="Times New Roman" w:hAnsi="Times New Roman" w:eastAsia="方正仿宋_GBK" w:cs="Times New Roman"/>
          <w:sz w:val="32"/>
          <w:szCs w:val="32"/>
        </w:rPr>
        <w:t>校</w:t>
      </w:r>
      <w:r>
        <w:rPr>
          <w:rFonts w:ascii="Times New Roman" w:hAnsi="Times New Roman" w:eastAsia="方正仿宋_GBK" w:cs="Times New Roman"/>
          <w:sz w:val="32"/>
          <w:szCs w:val="32"/>
        </w:rPr>
        <w:t>返回</w:t>
      </w:r>
      <w:r>
        <w:rPr>
          <w:rFonts w:hint="eastAsia" w:ascii="Times New Roman" w:hAnsi="Times New Roman" w:eastAsia="方正仿宋_GBK" w:cs="Times New Roman"/>
          <w:sz w:val="32"/>
          <w:szCs w:val="32"/>
        </w:rPr>
        <w:t>。</w:t>
      </w:r>
    </w:p>
    <w:p>
      <w:pPr>
        <w:topLinePunct/>
        <w:spacing w:line="560" w:lineRule="exact"/>
        <w:ind w:firstLine="643" w:firstLineChars="200"/>
        <w:contextualSpacing/>
        <w:rPr>
          <w:rFonts w:eastAsia="方正仿宋_GBK" w:cs="Times New Roman"/>
          <w:sz w:val="32"/>
          <w:szCs w:val="32"/>
        </w:rPr>
      </w:pPr>
      <w:r>
        <w:rPr>
          <w:rFonts w:hint="eastAsia" w:ascii="Times New Roman" w:hAnsi="Times New Roman" w:eastAsia="方正仿宋_GBK" w:cs="Times New Roman"/>
          <w:b/>
          <w:sz w:val="32"/>
          <w:szCs w:val="32"/>
        </w:rPr>
        <w:t>第十五条</w:t>
      </w:r>
      <w:r>
        <w:rPr>
          <w:rFonts w:ascii="Times New Roman" w:hAnsi="Times New Roman" w:eastAsia="方正仿宋_GBK" w:cs="Times New Roman"/>
          <w:bCs/>
          <w:sz w:val="32"/>
          <w:szCs w:val="32"/>
        </w:rPr>
        <w:t xml:space="preserve"> </w:t>
      </w:r>
      <w:r>
        <w:rPr>
          <w:rFonts w:hint="eastAsia" w:eastAsia="方正仿宋_GBK" w:cs="Times New Roman"/>
          <w:bCs/>
          <w:sz w:val="32"/>
          <w:szCs w:val="32"/>
        </w:rPr>
        <w:t>实行市场化薪酬的</w:t>
      </w:r>
      <w:r>
        <w:rPr>
          <w:rFonts w:ascii="Times New Roman" w:hAnsi="Times New Roman" w:eastAsia="方正仿宋_GBK" w:cs="Times New Roman"/>
          <w:bCs/>
          <w:sz w:val="32"/>
          <w:szCs w:val="32"/>
        </w:rPr>
        <w:t>高层次人才，其</w:t>
      </w:r>
      <w:r>
        <w:rPr>
          <w:rFonts w:hint="eastAsia" w:ascii="Times New Roman" w:hAnsi="Times New Roman" w:eastAsia="方正仿宋_GBK" w:cs="Times New Roman"/>
          <w:bCs/>
          <w:sz w:val="32"/>
          <w:szCs w:val="32"/>
          <w:lang w:eastAsia="zh-CN"/>
        </w:rPr>
        <w:t>“</w:t>
      </w:r>
      <w:r>
        <w:rPr>
          <w:rFonts w:ascii="Times New Roman" w:hAnsi="Times New Roman" w:eastAsia="方正仿宋_GBK" w:cs="Times New Roman"/>
          <w:bCs/>
          <w:sz w:val="32"/>
          <w:szCs w:val="32"/>
        </w:rPr>
        <w:t>五险一金</w:t>
      </w:r>
      <w:r>
        <w:rPr>
          <w:rFonts w:hint="eastAsia" w:ascii="Times New Roman" w:hAnsi="Times New Roman" w:eastAsia="方正仿宋_GBK" w:cs="Times New Roman"/>
          <w:bCs/>
          <w:sz w:val="32"/>
          <w:szCs w:val="32"/>
          <w:lang w:eastAsia="zh-CN"/>
        </w:rPr>
        <w:t>”</w:t>
      </w:r>
      <w:r>
        <w:rPr>
          <w:rFonts w:ascii="Times New Roman" w:hAnsi="Times New Roman" w:eastAsia="方正仿宋_GBK" w:cs="Times New Roman"/>
          <w:bCs/>
          <w:sz w:val="32"/>
          <w:szCs w:val="32"/>
        </w:rPr>
        <w:t>缴费基数仍按学校未发放激励性报酬的</w:t>
      </w:r>
      <w:r>
        <w:rPr>
          <w:rFonts w:ascii="Times New Roman" w:hAnsi="Times New Roman" w:eastAsia="方正仿宋_GBK" w:cs="Times New Roman"/>
          <w:sz w:val="32"/>
          <w:szCs w:val="32"/>
        </w:rPr>
        <w:t>同类人员标准执行</w:t>
      </w:r>
      <w:r>
        <w:rPr>
          <w:rFonts w:hint="eastAsia" w:ascii="Times New Roman" w:hAnsi="Times New Roman" w:eastAsia="方正仿宋_GBK" w:cs="Times New Roman"/>
          <w:sz w:val="32"/>
          <w:szCs w:val="32"/>
        </w:rPr>
        <w:t>。</w:t>
      </w:r>
    </w:p>
    <w:p>
      <w:pPr>
        <w:topLinePunct/>
        <w:spacing w:line="560" w:lineRule="exact"/>
        <w:contextualSpacing/>
        <w:jc w:val="center"/>
        <w:rPr>
          <w:rFonts w:ascii="Times New Roman" w:hAnsi="Times New Roman" w:eastAsia="方正仿宋_GBK" w:cs="Times New Roman"/>
          <w:b/>
          <w:sz w:val="32"/>
          <w:szCs w:val="32"/>
        </w:rPr>
      </w:pPr>
      <w:r>
        <w:rPr>
          <w:rFonts w:hint="eastAsia" w:ascii="黑体" w:hAnsi="黑体" w:eastAsia="黑体" w:cs="黑体"/>
          <w:color w:val="000000" w:themeColor="text1"/>
          <w:sz w:val="32"/>
          <w:szCs w:val="32"/>
          <w14:textFill>
            <w14:solidFill>
              <w14:schemeClr w14:val="tx1"/>
            </w14:solidFill>
          </w14:textFill>
        </w:rPr>
        <w:t>第四章 其他条款</w:t>
      </w:r>
    </w:p>
    <w:p>
      <w:pPr>
        <w:topLinePunct/>
        <w:spacing w:line="560" w:lineRule="exact"/>
        <w:ind w:firstLine="643" w:firstLineChars="200"/>
        <w:contextualSpacing/>
        <w:rPr>
          <w:rFonts w:ascii="Times New Roman" w:hAnsi="Times New Roman" w:eastAsia="方正仿宋_GBK" w:cs="Times New Roman"/>
          <w:sz w:val="32"/>
          <w:szCs w:val="32"/>
        </w:rPr>
      </w:pPr>
      <w:r>
        <w:rPr>
          <w:rFonts w:hint="eastAsia" w:ascii="Times New Roman" w:hAnsi="Times New Roman" w:eastAsia="方正仿宋_GBK" w:cs="Times New Roman"/>
          <w:b/>
          <w:sz w:val="32"/>
          <w:szCs w:val="32"/>
        </w:rPr>
        <w:t>第</w:t>
      </w:r>
      <w:r>
        <w:rPr>
          <w:rFonts w:ascii="Times New Roman" w:hAnsi="Times New Roman" w:eastAsia="方正仿宋_GBK" w:cs="Times New Roman"/>
          <w:b/>
          <w:sz w:val="32"/>
          <w:szCs w:val="32"/>
        </w:rPr>
        <w:t>十六条</w:t>
      </w:r>
      <w:r>
        <w:rPr>
          <w:rFonts w:hint="eastAsia" w:ascii="Times New Roman" w:hAnsi="Times New Roman" w:eastAsia="方正仿宋_GBK" w:cs="Times New Roman"/>
          <w:b/>
          <w:sz w:val="32"/>
          <w:szCs w:val="32"/>
        </w:rPr>
        <w:t xml:space="preserve"> </w:t>
      </w:r>
      <w:r>
        <w:rPr>
          <w:rFonts w:ascii="Times New Roman" w:hAnsi="Times New Roman" w:eastAsia="方正仿宋_GBK" w:cs="Times New Roman"/>
          <w:sz w:val="32"/>
          <w:szCs w:val="32"/>
        </w:rPr>
        <w:t>对考核期内成果的说明和界定。</w:t>
      </w:r>
    </w:p>
    <w:p>
      <w:pPr>
        <w:topLinePunct/>
        <w:spacing w:line="560" w:lineRule="exact"/>
        <w:ind w:firstLine="640" w:firstLineChars="200"/>
        <w:contextualSpacing/>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w:t>
      </w:r>
      <w:r>
        <w:rPr>
          <w:rFonts w:ascii="Times New Roman" w:hAnsi="Times New Roman" w:eastAsia="方正仿宋_GBK" w:cs="Times New Roman"/>
          <w:sz w:val="32"/>
          <w:szCs w:val="32"/>
        </w:rPr>
        <w:t>考核期内成果应是本考核时段内取得的，主持项目以项目批准时间为准，认定的论文以刊发日期为准，获奖项目以发文时间为准。</w:t>
      </w:r>
    </w:p>
    <w:p>
      <w:pPr>
        <w:topLinePunct/>
        <w:spacing w:line="560" w:lineRule="exact"/>
        <w:ind w:firstLine="640" w:firstLineChars="200"/>
        <w:contextualSpacing/>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二</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所有成果</w:t>
      </w:r>
      <w:r>
        <w:rPr>
          <w:rFonts w:ascii="Times New Roman" w:hAnsi="Times New Roman" w:eastAsia="方正仿宋_GBK" w:cs="Times New Roman"/>
          <w:sz w:val="32"/>
          <w:szCs w:val="32"/>
        </w:rPr>
        <w:t>的认定以学校现行的</w:t>
      </w:r>
      <w:r>
        <w:rPr>
          <w:rFonts w:hint="eastAsia" w:ascii="Times New Roman" w:hAnsi="Times New Roman" w:eastAsia="方正仿宋_GBK" w:cs="Times New Roman"/>
          <w:sz w:val="32"/>
          <w:szCs w:val="32"/>
        </w:rPr>
        <w:t>成果</w:t>
      </w:r>
      <w:r>
        <w:rPr>
          <w:rFonts w:ascii="Times New Roman" w:hAnsi="Times New Roman" w:eastAsia="方正仿宋_GBK" w:cs="Times New Roman"/>
          <w:sz w:val="32"/>
          <w:szCs w:val="32"/>
        </w:rPr>
        <w:t>登记及管理办法为准。</w:t>
      </w:r>
    </w:p>
    <w:p>
      <w:pPr>
        <w:topLinePunct/>
        <w:spacing w:line="560" w:lineRule="exact"/>
        <w:ind w:firstLine="640" w:firstLineChars="200"/>
        <w:contextualSpacing/>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三</w:t>
      </w:r>
      <w:r>
        <w:rPr>
          <w:rFonts w:ascii="Times New Roman" w:hAnsi="Times New Roman" w:eastAsia="方正仿宋_GBK" w:cs="Times New Roman"/>
          <w:sz w:val="32"/>
          <w:szCs w:val="32"/>
        </w:rPr>
        <w:t>）同一成果获得多个层次奖励</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只按最高层级计</w:t>
      </w:r>
      <w:r>
        <w:rPr>
          <w:rFonts w:hint="eastAsia" w:ascii="Times New Roman" w:hAnsi="Times New Roman" w:eastAsia="方正仿宋_GBK" w:cs="Times New Roman"/>
          <w:sz w:val="32"/>
          <w:szCs w:val="32"/>
        </w:rPr>
        <w:t>算</w:t>
      </w:r>
      <w:r>
        <w:rPr>
          <w:rFonts w:ascii="Times New Roman" w:hAnsi="Times New Roman" w:eastAsia="方正仿宋_GBK" w:cs="Times New Roman"/>
          <w:sz w:val="32"/>
          <w:szCs w:val="32"/>
        </w:rPr>
        <w:t>。</w:t>
      </w:r>
    </w:p>
    <w:p>
      <w:pPr>
        <w:topLinePunct/>
        <w:spacing w:line="560" w:lineRule="exact"/>
        <w:ind w:firstLine="643" w:firstLineChars="200"/>
        <w:contextualSpacing/>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第</w:t>
      </w:r>
      <w:r>
        <w:rPr>
          <w:rFonts w:ascii="Times New Roman" w:hAnsi="Times New Roman" w:eastAsia="方正仿宋_GBK" w:cs="Times New Roman"/>
          <w:b/>
          <w:bCs/>
          <w:sz w:val="32"/>
          <w:szCs w:val="32"/>
        </w:rPr>
        <w:t>十七条</w:t>
      </w:r>
      <w:r>
        <w:rPr>
          <w:rFonts w:hint="eastAsia" w:ascii="Times New Roman" w:hAnsi="Times New Roman" w:eastAsia="方正仿宋_GBK" w:cs="Times New Roman"/>
          <w:sz w:val="32"/>
          <w:szCs w:val="32"/>
        </w:rPr>
        <w:t xml:space="preserve"> 享受</w:t>
      </w:r>
      <w:r>
        <w:rPr>
          <w:rFonts w:ascii="Times New Roman" w:hAnsi="Times New Roman" w:eastAsia="方正仿宋_GBK" w:cs="Times New Roman"/>
          <w:sz w:val="32"/>
          <w:szCs w:val="32"/>
        </w:rPr>
        <w:t>市场化薪酬的高层人才，在考核周期内不</w:t>
      </w:r>
      <w:r>
        <w:rPr>
          <w:rFonts w:hint="eastAsia" w:ascii="Times New Roman" w:hAnsi="Times New Roman" w:eastAsia="方正仿宋_GBK" w:cs="Times New Roman"/>
          <w:sz w:val="32"/>
          <w:szCs w:val="32"/>
        </w:rPr>
        <w:t>受理</w:t>
      </w:r>
      <w:r>
        <w:rPr>
          <w:rFonts w:ascii="Times New Roman" w:hAnsi="Times New Roman" w:eastAsia="方正仿宋_GBK" w:cs="Times New Roman"/>
          <w:sz w:val="32"/>
          <w:szCs w:val="32"/>
        </w:rPr>
        <w:t>调离申请（</w:t>
      </w:r>
      <w:r>
        <w:rPr>
          <w:rFonts w:hint="eastAsia" w:ascii="Times New Roman" w:hAnsi="Times New Roman" w:eastAsia="方正仿宋_GBK" w:cs="Times New Roman"/>
          <w:sz w:val="32"/>
          <w:szCs w:val="32"/>
        </w:rPr>
        <w:t>不含上级</w:t>
      </w:r>
      <w:r>
        <w:rPr>
          <w:rFonts w:ascii="Times New Roman" w:hAnsi="Times New Roman" w:eastAsia="方正仿宋_GBK" w:cs="Times New Roman"/>
          <w:sz w:val="32"/>
          <w:szCs w:val="32"/>
        </w:rPr>
        <w:t>组织部门的因公</w:t>
      </w:r>
      <w:r>
        <w:rPr>
          <w:rFonts w:hint="eastAsia" w:ascii="Times New Roman" w:hAnsi="Times New Roman" w:eastAsia="方正仿宋_GBK" w:cs="Times New Roman"/>
          <w:sz w:val="32"/>
          <w:szCs w:val="32"/>
        </w:rPr>
        <w:t>调离</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w:t>
      </w:r>
    </w:p>
    <w:p>
      <w:pPr>
        <w:topLinePunct/>
        <w:spacing w:line="560" w:lineRule="exact"/>
        <w:ind w:firstLine="643" w:firstLineChars="200"/>
        <w:contextualSpacing/>
        <w:jc w:val="left"/>
        <w:rPr>
          <w:rFonts w:ascii="黑体" w:hAnsi="黑体" w:eastAsia="黑体" w:cs="黑体"/>
          <w:color w:val="000000" w:themeColor="text1"/>
          <w:sz w:val="32"/>
          <w:szCs w:val="32"/>
          <w14:textFill>
            <w14:solidFill>
              <w14:schemeClr w14:val="tx1"/>
            </w14:solidFill>
          </w14:textFill>
        </w:rPr>
      </w:pPr>
      <w:r>
        <w:rPr>
          <w:rFonts w:hint="eastAsia" w:ascii="Times New Roman" w:hAnsi="Times New Roman" w:eastAsia="方正仿宋_GBK" w:cs="Times New Roman"/>
          <w:b/>
          <w:bCs/>
          <w:sz w:val="32"/>
          <w:szCs w:val="32"/>
        </w:rPr>
        <w:t>第十</w:t>
      </w:r>
      <w:r>
        <w:rPr>
          <w:rFonts w:ascii="Times New Roman" w:hAnsi="Times New Roman" w:eastAsia="方正仿宋_GBK" w:cs="Times New Roman"/>
          <w:b/>
          <w:bCs/>
          <w:sz w:val="32"/>
          <w:szCs w:val="32"/>
        </w:rPr>
        <w:t>八</w:t>
      </w:r>
      <w:r>
        <w:rPr>
          <w:rFonts w:hint="eastAsia" w:ascii="Times New Roman" w:hAnsi="Times New Roman" w:eastAsia="方正仿宋_GBK" w:cs="Times New Roman"/>
          <w:b/>
          <w:bCs/>
          <w:sz w:val="32"/>
          <w:szCs w:val="32"/>
        </w:rPr>
        <w:t>条</w:t>
      </w:r>
      <w:r>
        <w:rPr>
          <w:rFonts w:hint="eastAsia" w:ascii="Times New Roman" w:hAnsi="Times New Roman" w:eastAsia="方正仿宋_GBK" w:cs="Times New Roman"/>
          <w:sz w:val="32"/>
          <w:szCs w:val="32"/>
        </w:rPr>
        <w:t xml:space="preserve"> 学</w:t>
      </w:r>
      <w:r>
        <w:rPr>
          <w:rFonts w:ascii="Times New Roman" w:hAnsi="Times New Roman" w:eastAsia="方正仿宋_GBK" w:cs="Times New Roman"/>
          <w:sz w:val="32"/>
          <w:szCs w:val="32"/>
        </w:rPr>
        <w:t>校内具有经营性质的创收单位，其负责人可实行市场化薪酬，其</w:t>
      </w:r>
      <w:r>
        <w:rPr>
          <w:rFonts w:hint="eastAsia" w:ascii="Times New Roman" w:hAnsi="Times New Roman" w:eastAsia="方正仿宋_GBK" w:cs="Times New Roman"/>
          <w:sz w:val="32"/>
          <w:szCs w:val="32"/>
        </w:rPr>
        <w:t>实施</w:t>
      </w:r>
      <w:r>
        <w:rPr>
          <w:rFonts w:ascii="Times New Roman" w:hAnsi="Times New Roman" w:eastAsia="方正仿宋_GBK" w:cs="Times New Roman"/>
          <w:sz w:val="32"/>
          <w:szCs w:val="32"/>
        </w:rPr>
        <w:t>办法另行</w:t>
      </w:r>
      <w:r>
        <w:rPr>
          <w:rFonts w:hint="eastAsia" w:ascii="Times New Roman" w:hAnsi="Times New Roman" w:eastAsia="方正仿宋_GBK" w:cs="Times New Roman"/>
          <w:sz w:val="32"/>
          <w:szCs w:val="32"/>
        </w:rPr>
        <w:t>制订</w:t>
      </w:r>
      <w:r>
        <w:rPr>
          <w:rFonts w:ascii="Times New Roman" w:hAnsi="Times New Roman" w:eastAsia="方正仿宋_GBK" w:cs="Times New Roman"/>
          <w:sz w:val="32"/>
          <w:szCs w:val="32"/>
        </w:rPr>
        <w:t>。</w:t>
      </w:r>
    </w:p>
    <w:p>
      <w:pPr>
        <w:topLinePunct/>
        <w:spacing w:line="560" w:lineRule="exact"/>
        <w:contextualSpacing/>
        <w:jc w:val="center"/>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第五章  附则</w:t>
      </w:r>
    </w:p>
    <w:p>
      <w:pPr>
        <w:topLinePunct/>
        <w:spacing w:line="560" w:lineRule="exact"/>
        <w:ind w:firstLine="643" w:firstLineChars="200"/>
        <w:contextualSpacing/>
        <w:rPr>
          <w:rFonts w:ascii="Times New Roman" w:hAnsi="Times New Roman" w:eastAsia="方正仿宋_GBK" w:cs="Times New Roman"/>
          <w:sz w:val="32"/>
          <w:szCs w:val="32"/>
        </w:rPr>
      </w:pPr>
      <w:r>
        <w:rPr>
          <w:rFonts w:ascii="Times New Roman" w:hAnsi="Times New Roman" w:eastAsia="方正仿宋_GBK" w:cs="Times New Roman"/>
          <w:b/>
          <w:sz w:val="32"/>
          <w:szCs w:val="32"/>
        </w:rPr>
        <w:t>第</w:t>
      </w:r>
      <w:r>
        <w:rPr>
          <w:rFonts w:hint="eastAsia" w:ascii="Times New Roman" w:hAnsi="Times New Roman" w:eastAsia="方正仿宋_GBK" w:cs="Times New Roman"/>
          <w:b/>
          <w:sz w:val="32"/>
          <w:szCs w:val="32"/>
        </w:rPr>
        <w:t>十九</w:t>
      </w:r>
      <w:r>
        <w:rPr>
          <w:rFonts w:ascii="Times New Roman" w:hAnsi="Times New Roman" w:eastAsia="方正仿宋_GBK" w:cs="Times New Roman"/>
          <w:b/>
          <w:sz w:val="32"/>
          <w:szCs w:val="32"/>
        </w:rPr>
        <w:t>条</w:t>
      </w:r>
      <w:r>
        <w:rPr>
          <w:rFonts w:ascii="Times New Roman" w:hAnsi="Times New Roman" w:eastAsia="方正仿宋_GBK" w:cs="Times New Roman"/>
          <w:sz w:val="32"/>
          <w:szCs w:val="32"/>
        </w:rPr>
        <w:t xml:space="preserve"> 本办法</w:t>
      </w:r>
      <w:r>
        <w:rPr>
          <w:rFonts w:hint="eastAsia" w:ascii="Times New Roman" w:hAnsi="Times New Roman" w:eastAsia="方正仿宋_GBK" w:cs="Times New Roman"/>
          <w:sz w:val="32"/>
          <w:szCs w:val="32"/>
          <w:lang w:val="en-US" w:eastAsia="zh-CN"/>
        </w:rPr>
        <w:t>自发布之日起开始</w:t>
      </w:r>
      <w:r>
        <w:rPr>
          <w:rFonts w:ascii="Times New Roman" w:hAnsi="Times New Roman" w:eastAsia="方正仿宋_GBK" w:cs="Times New Roman"/>
          <w:sz w:val="32"/>
          <w:szCs w:val="32"/>
        </w:rPr>
        <w:t>试行</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如国家和重庆市出台新的规定，则应按国家和重庆市的最新相关规定执行。</w:t>
      </w:r>
    </w:p>
    <w:p>
      <w:pPr>
        <w:topLinePunct/>
        <w:adjustRightInd w:val="0"/>
        <w:snapToGrid w:val="0"/>
        <w:spacing w:line="560" w:lineRule="exact"/>
        <w:ind w:firstLine="643" w:firstLineChars="200"/>
        <w:jc w:val="left"/>
        <w:rPr>
          <w:rFonts w:ascii="Times New Roman" w:hAnsi="Times New Roman" w:eastAsia="方正仿宋_GBK" w:cs="Times New Roman"/>
          <w:sz w:val="32"/>
          <w:szCs w:val="32"/>
        </w:rPr>
      </w:pPr>
      <w:r>
        <w:rPr>
          <w:rFonts w:ascii="Times New Roman" w:hAnsi="Times New Roman" w:eastAsia="方正仿宋_GBK" w:cs="Times New Roman"/>
          <w:b/>
          <w:sz w:val="32"/>
          <w:szCs w:val="32"/>
        </w:rPr>
        <w:t>第</w:t>
      </w:r>
      <w:r>
        <w:rPr>
          <w:rFonts w:hint="eastAsia" w:ascii="Times New Roman" w:hAnsi="Times New Roman" w:eastAsia="方正仿宋_GBK" w:cs="Times New Roman"/>
          <w:b/>
          <w:sz w:val="32"/>
          <w:szCs w:val="32"/>
        </w:rPr>
        <w:t>二十</w:t>
      </w:r>
      <w:r>
        <w:rPr>
          <w:rFonts w:ascii="Times New Roman" w:hAnsi="Times New Roman" w:eastAsia="方正仿宋_GBK" w:cs="Times New Roman"/>
          <w:b/>
          <w:sz w:val="32"/>
          <w:szCs w:val="32"/>
        </w:rPr>
        <w:t>条</w:t>
      </w:r>
      <w:r>
        <w:rPr>
          <w:rFonts w:ascii="Times New Roman" w:hAnsi="Times New Roman" w:eastAsia="方正仿宋_GBK" w:cs="Times New Roman"/>
          <w:sz w:val="32"/>
          <w:szCs w:val="32"/>
        </w:rPr>
        <w:t xml:space="preserve"> 本办法由学校授权市场化薪酬</w:t>
      </w:r>
      <w:r>
        <w:rPr>
          <w:rFonts w:hint="eastAsia" w:ascii="Times New Roman" w:hAnsi="Times New Roman" w:eastAsia="方正仿宋_GBK" w:cs="Times New Roman"/>
          <w:sz w:val="32"/>
          <w:szCs w:val="32"/>
        </w:rPr>
        <w:t>领导</w:t>
      </w:r>
      <w:r>
        <w:rPr>
          <w:rFonts w:ascii="Times New Roman" w:hAnsi="Times New Roman" w:eastAsia="方正仿宋_GBK" w:cs="Times New Roman"/>
          <w:sz w:val="32"/>
          <w:szCs w:val="32"/>
        </w:rPr>
        <w:t>工作小组办公室解释。</w:t>
      </w:r>
    </w:p>
    <w:p>
      <w:pPr>
        <w:pStyle w:val="2"/>
        <w:rPr>
          <w:rFonts w:ascii="Times New Roman" w:hAnsi="Times New Roman" w:eastAsia="方正仿宋_GBK" w:cs="Times New Roman"/>
          <w:sz w:val="32"/>
          <w:szCs w:val="32"/>
        </w:rPr>
      </w:pPr>
    </w:p>
    <w:p>
      <w:pPr>
        <w:pStyle w:val="2"/>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附件：市场化薪酬聘期考核工作任务</w:t>
      </w:r>
    </w:p>
    <w:p>
      <w:pPr>
        <w:pStyle w:val="2"/>
        <w:rPr>
          <w:rFonts w:ascii="Times New Roman" w:hAnsi="Times New Roman" w:eastAsia="方正仿宋_GBK" w:cs="Times New Roman"/>
          <w:sz w:val="32"/>
          <w:szCs w:val="32"/>
        </w:rPr>
      </w:pPr>
    </w:p>
    <w:p>
      <w:pPr>
        <w:pStyle w:val="2"/>
        <w:rPr>
          <w:rFonts w:ascii="Times New Roman" w:hAnsi="Times New Roman" w:eastAsia="方正仿宋_GBK" w:cs="Times New Roman"/>
          <w:sz w:val="32"/>
          <w:szCs w:val="32"/>
        </w:rPr>
      </w:pPr>
    </w:p>
    <w:p>
      <w:pPr>
        <w:pStyle w:val="2"/>
        <w:rPr>
          <w:rFonts w:ascii="Times New Roman" w:hAnsi="Times New Roman" w:eastAsia="方正仿宋_GBK" w:cs="Times New Roman"/>
          <w:sz w:val="32"/>
          <w:szCs w:val="32"/>
        </w:rPr>
      </w:pPr>
    </w:p>
    <w:p>
      <w:pPr>
        <w:pStyle w:val="2"/>
        <w:rPr>
          <w:rFonts w:ascii="Times New Roman" w:hAnsi="Times New Roman" w:eastAsia="方正仿宋_GBK" w:cs="Times New Roman"/>
          <w:sz w:val="32"/>
          <w:szCs w:val="32"/>
        </w:rPr>
      </w:pPr>
    </w:p>
    <w:p>
      <w:pPr>
        <w:pStyle w:val="2"/>
        <w:rPr>
          <w:rFonts w:ascii="Times New Roman" w:hAnsi="Times New Roman" w:eastAsia="方正仿宋_GBK" w:cs="Times New Roman"/>
          <w:sz w:val="32"/>
          <w:szCs w:val="32"/>
        </w:rPr>
      </w:pPr>
    </w:p>
    <w:p>
      <w:pPr>
        <w:pStyle w:val="2"/>
        <w:rPr>
          <w:rFonts w:ascii="Times New Roman" w:hAnsi="Times New Roman" w:eastAsia="方正仿宋_GBK" w:cs="Times New Roman"/>
          <w:sz w:val="32"/>
          <w:szCs w:val="32"/>
        </w:rPr>
      </w:pPr>
    </w:p>
    <w:p>
      <w:pPr>
        <w:pStyle w:val="2"/>
        <w:rPr>
          <w:rFonts w:ascii="Times New Roman" w:hAnsi="Times New Roman" w:eastAsia="方正仿宋_GBK" w:cs="Times New Roman"/>
          <w:sz w:val="32"/>
          <w:szCs w:val="32"/>
        </w:rPr>
      </w:pPr>
    </w:p>
    <w:p>
      <w:pPr>
        <w:pStyle w:val="2"/>
        <w:rPr>
          <w:rFonts w:ascii="Times New Roman" w:hAnsi="Times New Roman" w:eastAsia="方正仿宋_GBK" w:cs="Times New Roman"/>
          <w:sz w:val="32"/>
          <w:szCs w:val="32"/>
        </w:rPr>
      </w:pPr>
    </w:p>
    <w:p>
      <w:pPr>
        <w:pStyle w:val="2"/>
        <w:rPr>
          <w:rFonts w:ascii="Times New Roman" w:hAnsi="Times New Roman" w:eastAsia="方正仿宋_GBK" w:cs="Times New Roman"/>
          <w:sz w:val="32"/>
          <w:szCs w:val="32"/>
        </w:rPr>
      </w:pPr>
    </w:p>
    <w:p>
      <w:pPr>
        <w:pStyle w:val="2"/>
        <w:rPr>
          <w:rFonts w:ascii="Times New Roman" w:hAnsi="Times New Roman" w:eastAsia="方正仿宋_GBK" w:cs="Times New Roman"/>
          <w:sz w:val="32"/>
          <w:szCs w:val="32"/>
        </w:rPr>
      </w:pPr>
    </w:p>
    <w:p>
      <w:pPr>
        <w:pStyle w:val="2"/>
        <w:rPr>
          <w:rFonts w:ascii="Times New Roman" w:hAnsi="Times New Roman" w:eastAsia="方正仿宋_GBK" w:cs="Times New Roman"/>
          <w:sz w:val="32"/>
          <w:szCs w:val="32"/>
        </w:rPr>
      </w:pPr>
    </w:p>
    <w:p>
      <w:pPr>
        <w:pStyle w:val="2"/>
        <w:rPr>
          <w:rFonts w:ascii="Times New Roman" w:hAnsi="Times New Roman" w:eastAsia="方正仿宋_GBK" w:cs="Times New Roman"/>
          <w:sz w:val="32"/>
          <w:szCs w:val="32"/>
        </w:rPr>
      </w:pPr>
    </w:p>
    <w:p>
      <w:pPr>
        <w:pStyle w:val="2"/>
        <w:rPr>
          <w:rFonts w:ascii="Times New Roman" w:hAnsi="Times New Roman" w:eastAsia="方正仿宋_GBK" w:cs="Times New Roman"/>
          <w:sz w:val="32"/>
          <w:szCs w:val="32"/>
        </w:rPr>
      </w:pPr>
    </w:p>
    <w:tbl>
      <w:tblPr>
        <w:tblStyle w:val="12"/>
        <w:tblpPr w:leftFromText="180" w:rightFromText="180" w:vertAnchor="text" w:horzAnchor="page" w:tblpX="1596" w:tblpY="101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9004" w:type="dxa"/>
            <w:tcBorders>
              <w:left w:val="nil"/>
              <w:right w:val="nil"/>
            </w:tcBorders>
            <w:noWrap w:val="0"/>
            <w:vAlign w:val="top"/>
          </w:tcPr>
          <w:p>
            <w:pPr>
              <w:spacing w:line="520" w:lineRule="exact"/>
              <w:ind w:firstLine="140" w:firstLineChars="50"/>
              <w:rPr>
                <w:rFonts w:eastAsia="方正仿宋_GBK"/>
                <w:sz w:val="28"/>
                <w:szCs w:val="28"/>
              </w:rPr>
            </w:pPr>
            <w:r>
              <w:rPr>
                <w:rFonts w:eastAsia="方正仿宋_GBK"/>
                <w:sz w:val="28"/>
                <w:szCs w:val="28"/>
              </w:rPr>
              <w:t xml:space="preserve">重庆城市职业学院党政办公室              </w:t>
            </w:r>
            <w:r>
              <w:rPr>
                <w:rFonts w:hint="eastAsia" w:eastAsia="方正仿宋_GBK"/>
                <w:sz w:val="28"/>
                <w:szCs w:val="28"/>
                <w:lang w:val="en-US" w:eastAsia="zh-CN"/>
              </w:rPr>
              <w:t xml:space="preserve"> </w:t>
            </w:r>
            <w:r>
              <w:rPr>
                <w:rFonts w:hint="default" w:ascii="Times New Roman" w:hAnsi="Times New Roman" w:eastAsia="方正仿宋_GBK" w:cs="Times New Roman"/>
                <w:sz w:val="28"/>
                <w:szCs w:val="28"/>
              </w:rPr>
              <w:t>2023年</w:t>
            </w:r>
            <w:r>
              <w:rPr>
                <w:rFonts w:hint="eastAsia" w:ascii="Times New Roman" w:hAnsi="Times New Roman" w:eastAsia="方正仿宋_GBK" w:cs="Times New Roman"/>
                <w:sz w:val="28"/>
                <w:szCs w:val="28"/>
                <w:lang w:eastAsia="zh-CN"/>
              </w:rPr>
              <w:t>9</w:t>
            </w:r>
            <w:r>
              <w:rPr>
                <w:rFonts w:hint="default" w:ascii="Times New Roman" w:hAnsi="Times New Roman" w:eastAsia="方正仿宋_GBK" w:cs="Times New Roman"/>
                <w:sz w:val="28"/>
                <w:szCs w:val="28"/>
              </w:rPr>
              <w:t>月</w:t>
            </w:r>
            <w:r>
              <w:rPr>
                <w:rFonts w:hint="eastAsia" w:ascii="Times New Roman" w:hAnsi="Times New Roman" w:eastAsia="方正仿宋_GBK" w:cs="Times New Roman"/>
                <w:sz w:val="28"/>
                <w:szCs w:val="28"/>
                <w:lang w:val="en-US" w:eastAsia="zh-CN"/>
              </w:rPr>
              <w:t>22</w:t>
            </w:r>
            <w:r>
              <w:rPr>
                <w:rFonts w:hint="default" w:ascii="Times New Roman" w:hAnsi="Times New Roman" w:eastAsia="方正仿宋_GBK" w:cs="Times New Roman"/>
                <w:sz w:val="28"/>
                <w:szCs w:val="28"/>
              </w:rPr>
              <w:t>日</w:t>
            </w:r>
            <w:r>
              <w:rPr>
                <w:rFonts w:eastAsia="方正仿宋_GBK"/>
                <w:sz w:val="28"/>
                <w:szCs w:val="28"/>
              </w:rPr>
              <w:t>印发</w:t>
            </w:r>
          </w:p>
        </w:tc>
      </w:tr>
    </w:tbl>
    <w:p>
      <w:pPr>
        <w:pStyle w:val="2"/>
        <w:rPr>
          <w:rFonts w:ascii="Times New Roman" w:hAnsi="Times New Roman" w:eastAsia="方正仿宋_GBK" w:cs="Times New Roman"/>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EFF" w:usb1="0000785B" w:usb2="00000001" w:usb3="00000000" w:csb0="400001BF" w:csb1="DFF70000"/>
  </w:font>
  <w:font w:name="黑体">
    <w:altName w:val="宋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EFF" w:usb1="40007843" w:usb2="00000001" w:usb3="00000000" w:csb0="400001BF" w:csb1="DFF70000"/>
  </w:font>
  <w:font w:name="Symbol">
    <w:altName w:val="Segoe UI 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0EFF" w:usb1="4000247B" w:usb2="00000001" w:usb3="00000000" w:csb0="200001BF" w:csb1="00000000"/>
  </w:font>
  <w:font w:name="方正仿宋_GBK">
    <w:panose1 w:val="03000509000000000000"/>
    <w:charset w:val="86"/>
    <w:family w:val="script"/>
    <w:pitch w:val="default"/>
    <w:sig w:usb0="00000001" w:usb1="080E0000" w:usb2="00000000" w:usb3="00000000" w:csb0="00040000" w:csb1="00000000"/>
  </w:font>
  <w:font w:name="仿宋_GB2312">
    <w:altName w:val="微软雅黑"/>
    <w:panose1 w:val="02010609030101010101"/>
    <w:charset w:val="86"/>
    <w:family w:val="modern"/>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方正楷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粗黑宋简体">
    <w:altName w:val="宋体"/>
    <w:panose1 w:val="02000000000000000000"/>
    <w:charset w:val="86"/>
    <w:family w:val="auto"/>
    <w:pitch w:val="default"/>
    <w:sig w:usb0="00000000" w:usb1="00000000" w:usb2="00000012" w:usb3="00000000" w:csb0="00040001" w:csb1="0000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mNThhYjVjOGJmOTAwZDk2MjQ5OWE5ZDAwYTI0YjEifQ=="/>
  </w:docVars>
  <w:rsids>
    <w:rsidRoot w:val="00192A1C"/>
    <w:rsid w:val="0000799A"/>
    <w:rsid w:val="00027768"/>
    <w:rsid w:val="00061461"/>
    <w:rsid w:val="0007217C"/>
    <w:rsid w:val="00097CE3"/>
    <w:rsid w:val="000C10B8"/>
    <w:rsid w:val="000C7EF9"/>
    <w:rsid w:val="000D2EA4"/>
    <w:rsid w:val="000D37C2"/>
    <w:rsid w:val="000E1C9E"/>
    <w:rsid w:val="00110E24"/>
    <w:rsid w:val="001517F8"/>
    <w:rsid w:val="001674D8"/>
    <w:rsid w:val="00177B84"/>
    <w:rsid w:val="00192A1C"/>
    <w:rsid w:val="001D5F22"/>
    <w:rsid w:val="001E062E"/>
    <w:rsid w:val="001E547F"/>
    <w:rsid w:val="00232EF0"/>
    <w:rsid w:val="00235739"/>
    <w:rsid w:val="00257146"/>
    <w:rsid w:val="0027225B"/>
    <w:rsid w:val="002853AD"/>
    <w:rsid w:val="002C529F"/>
    <w:rsid w:val="002C550F"/>
    <w:rsid w:val="002D4771"/>
    <w:rsid w:val="002D5F34"/>
    <w:rsid w:val="002E728C"/>
    <w:rsid w:val="002F1A2A"/>
    <w:rsid w:val="002F66B1"/>
    <w:rsid w:val="002F6A0C"/>
    <w:rsid w:val="0035235F"/>
    <w:rsid w:val="00367F06"/>
    <w:rsid w:val="003813D3"/>
    <w:rsid w:val="00385233"/>
    <w:rsid w:val="003A6FE0"/>
    <w:rsid w:val="003C0523"/>
    <w:rsid w:val="003D67FC"/>
    <w:rsid w:val="003E04BE"/>
    <w:rsid w:val="003E1980"/>
    <w:rsid w:val="00413B45"/>
    <w:rsid w:val="00447C43"/>
    <w:rsid w:val="004550D9"/>
    <w:rsid w:val="004566C3"/>
    <w:rsid w:val="00462CB7"/>
    <w:rsid w:val="0047254A"/>
    <w:rsid w:val="00496DA3"/>
    <w:rsid w:val="004A3B30"/>
    <w:rsid w:val="004C2495"/>
    <w:rsid w:val="004E4882"/>
    <w:rsid w:val="004F1CDE"/>
    <w:rsid w:val="00500E6F"/>
    <w:rsid w:val="0050540B"/>
    <w:rsid w:val="00510803"/>
    <w:rsid w:val="00530187"/>
    <w:rsid w:val="005466FF"/>
    <w:rsid w:val="00554D34"/>
    <w:rsid w:val="00555DA0"/>
    <w:rsid w:val="00560208"/>
    <w:rsid w:val="00567047"/>
    <w:rsid w:val="00583CEC"/>
    <w:rsid w:val="00587582"/>
    <w:rsid w:val="005B46CF"/>
    <w:rsid w:val="005C4318"/>
    <w:rsid w:val="005F6D3D"/>
    <w:rsid w:val="0060422D"/>
    <w:rsid w:val="00617645"/>
    <w:rsid w:val="00621C89"/>
    <w:rsid w:val="00655A08"/>
    <w:rsid w:val="0066479D"/>
    <w:rsid w:val="006660CC"/>
    <w:rsid w:val="00683374"/>
    <w:rsid w:val="00693B9E"/>
    <w:rsid w:val="006A5E74"/>
    <w:rsid w:val="006C229C"/>
    <w:rsid w:val="006E17CB"/>
    <w:rsid w:val="00700866"/>
    <w:rsid w:val="00701B47"/>
    <w:rsid w:val="00710C89"/>
    <w:rsid w:val="007165B7"/>
    <w:rsid w:val="007342E3"/>
    <w:rsid w:val="00746085"/>
    <w:rsid w:val="00746BA5"/>
    <w:rsid w:val="007568BB"/>
    <w:rsid w:val="0077761E"/>
    <w:rsid w:val="007916DB"/>
    <w:rsid w:val="007962B0"/>
    <w:rsid w:val="007A1762"/>
    <w:rsid w:val="007A31F9"/>
    <w:rsid w:val="007B4733"/>
    <w:rsid w:val="007E4BE6"/>
    <w:rsid w:val="008048B0"/>
    <w:rsid w:val="00846C1B"/>
    <w:rsid w:val="008A4979"/>
    <w:rsid w:val="008B7469"/>
    <w:rsid w:val="008C30BD"/>
    <w:rsid w:val="008C77E7"/>
    <w:rsid w:val="008D7894"/>
    <w:rsid w:val="008F0917"/>
    <w:rsid w:val="008F1053"/>
    <w:rsid w:val="00901D16"/>
    <w:rsid w:val="0092376E"/>
    <w:rsid w:val="00930FA7"/>
    <w:rsid w:val="009505EA"/>
    <w:rsid w:val="00950F24"/>
    <w:rsid w:val="00974F7B"/>
    <w:rsid w:val="009B4917"/>
    <w:rsid w:val="009B6E48"/>
    <w:rsid w:val="009C6D60"/>
    <w:rsid w:val="009F1866"/>
    <w:rsid w:val="00A400E1"/>
    <w:rsid w:val="00A45EEC"/>
    <w:rsid w:val="00A473B6"/>
    <w:rsid w:val="00A500EB"/>
    <w:rsid w:val="00A56EE6"/>
    <w:rsid w:val="00A719E6"/>
    <w:rsid w:val="00A86D36"/>
    <w:rsid w:val="00AA3B1B"/>
    <w:rsid w:val="00AA452E"/>
    <w:rsid w:val="00AA6552"/>
    <w:rsid w:val="00AC711D"/>
    <w:rsid w:val="00AD479C"/>
    <w:rsid w:val="00AF0D02"/>
    <w:rsid w:val="00B1603D"/>
    <w:rsid w:val="00B336B8"/>
    <w:rsid w:val="00B33A41"/>
    <w:rsid w:val="00B464EC"/>
    <w:rsid w:val="00B469CA"/>
    <w:rsid w:val="00B5488B"/>
    <w:rsid w:val="00B62F67"/>
    <w:rsid w:val="00BA664E"/>
    <w:rsid w:val="00BA778C"/>
    <w:rsid w:val="00BB6D0D"/>
    <w:rsid w:val="00BD5616"/>
    <w:rsid w:val="00BF1C58"/>
    <w:rsid w:val="00BF5105"/>
    <w:rsid w:val="00BF58B0"/>
    <w:rsid w:val="00C021FC"/>
    <w:rsid w:val="00C06F83"/>
    <w:rsid w:val="00C12A59"/>
    <w:rsid w:val="00C160C4"/>
    <w:rsid w:val="00C231E8"/>
    <w:rsid w:val="00C35E5A"/>
    <w:rsid w:val="00C52957"/>
    <w:rsid w:val="00C8620D"/>
    <w:rsid w:val="00CA2F13"/>
    <w:rsid w:val="00CA5946"/>
    <w:rsid w:val="00CD3642"/>
    <w:rsid w:val="00CE7F52"/>
    <w:rsid w:val="00CF0A33"/>
    <w:rsid w:val="00CF52CA"/>
    <w:rsid w:val="00D030DB"/>
    <w:rsid w:val="00D03B24"/>
    <w:rsid w:val="00D22C20"/>
    <w:rsid w:val="00D53844"/>
    <w:rsid w:val="00D6349E"/>
    <w:rsid w:val="00D70E14"/>
    <w:rsid w:val="00D74A26"/>
    <w:rsid w:val="00D91E43"/>
    <w:rsid w:val="00DA4FC7"/>
    <w:rsid w:val="00DC52D3"/>
    <w:rsid w:val="00DC659E"/>
    <w:rsid w:val="00DD317A"/>
    <w:rsid w:val="00DE5F45"/>
    <w:rsid w:val="00E135B3"/>
    <w:rsid w:val="00E25176"/>
    <w:rsid w:val="00E3095C"/>
    <w:rsid w:val="00E330CF"/>
    <w:rsid w:val="00E4268B"/>
    <w:rsid w:val="00E552AB"/>
    <w:rsid w:val="00E65D38"/>
    <w:rsid w:val="00E75B23"/>
    <w:rsid w:val="00E80481"/>
    <w:rsid w:val="00EB003E"/>
    <w:rsid w:val="00EE3F35"/>
    <w:rsid w:val="00EF5737"/>
    <w:rsid w:val="00F03641"/>
    <w:rsid w:val="00F26CCC"/>
    <w:rsid w:val="00F442CC"/>
    <w:rsid w:val="00F5271A"/>
    <w:rsid w:val="00F60D70"/>
    <w:rsid w:val="00F73AF9"/>
    <w:rsid w:val="00F90F79"/>
    <w:rsid w:val="00F9447A"/>
    <w:rsid w:val="00FD0CBC"/>
    <w:rsid w:val="00FD509C"/>
    <w:rsid w:val="00FF64B8"/>
    <w:rsid w:val="028B18FB"/>
    <w:rsid w:val="03AA3EF9"/>
    <w:rsid w:val="07475F61"/>
    <w:rsid w:val="0FFF7484"/>
    <w:rsid w:val="122A4290"/>
    <w:rsid w:val="1E50102E"/>
    <w:rsid w:val="1EF952B6"/>
    <w:rsid w:val="1F2C296C"/>
    <w:rsid w:val="1F5C7ED9"/>
    <w:rsid w:val="1F604075"/>
    <w:rsid w:val="25135385"/>
    <w:rsid w:val="29A47C5C"/>
    <w:rsid w:val="29BE1CBB"/>
    <w:rsid w:val="2BEE3636"/>
    <w:rsid w:val="2DE53D06"/>
    <w:rsid w:val="32DA5F08"/>
    <w:rsid w:val="332050FA"/>
    <w:rsid w:val="36AE1139"/>
    <w:rsid w:val="37313B18"/>
    <w:rsid w:val="3BF611FA"/>
    <w:rsid w:val="419D5575"/>
    <w:rsid w:val="41E03540"/>
    <w:rsid w:val="43E031B2"/>
    <w:rsid w:val="45AA2DBC"/>
    <w:rsid w:val="464C201A"/>
    <w:rsid w:val="4FBD1F95"/>
    <w:rsid w:val="594A0720"/>
    <w:rsid w:val="5C471564"/>
    <w:rsid w:val="5D155CF0"/>
    <w:rsid w:val="64763050"/>
    <w:rsid w:val="678C30B5"/>
    <w:rsid w:val="69B50D61"/>
    <w:rsid w:val="706D73FE"/>
    <w:rsid w:val="70A46B2D"/>
    <w:rsid w:val="71FE686A"/>
    <w:rsid w:val="770D4165"/>
    <w:rsid w:val="77E36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qFormat/>
    <w:uiPriority w:val="99"/>
    <w:pPr>
      <w:spacing w:line="600" w:lineRule="exact"/>
      <w:outlineLvl w:val="3"/>
    </w:pPr>
    <w:rPr>
      <w:rFonts w:eastAsia="方正仿宋_GBK"/>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
    <w:name w:val="annotation text"/>
    <w:basedOn w:val="1"/>
    <w:semiHidden/>
    <w:unhideWhenUsed/>
    <w:qFormat/>
    <w:uiPriority w:val="99"/>
    <w:pPr>
      <w:jc w:val="left"/>
    </w:pPr>
  </w:style>
  <w:style w:type="paragraph" w:styleId="7">
    <w:name w:val="Plain Text"/>
    <w:basedOn w:val="1"/>
    <w:link w:val="16"/>
    <w:unhideWhenUsed/>
    <w:qFormat/>
    <w:uiPriority w:val="99"/>
    <w:rPr>
      <w:rFonts w:hAnsi="Courier New" w:cs="Courier New" w:asciiTheme="minorEastAsia"/>
    </w:rPr>
  </w:style>
  <w:style w:type="paragraph" w:styleId="8">
    <w:name w:val="Balloon Text"/>
    <w:basedOn w:val="1"/>
    <w:link w:val="21"/>
    <w:semiHidden/>
    <w:unhideWhenUsed/>
    <w:qFormat/>
    <w:uiPriority w:val="99"/>
    <w:rPr>
      <w:sz w:val="18"/>
      <w:szCs w:val="18"/>
    </w:r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4">
    <w:name w:val="标题 1 Char"/>
    <w:basedOn w:val="13"/>
    <w:link w:val="3"/>
    <w:qFormat/>
    <w:uiPriority w:val="9"/>
    <w:rPr>
      <w:b/>
      <w:bCs/>
      <w:kern w:val="44"/>
      <w:sz w:val="44"/>
      <w:szCs w:val="44"/>
    </w:rPr>
  </w:style>
  <w:style w:type="character" w:customStyle="1" w:styleId="15">
    <w:name w:val="标题 2 Char"/>
    <w:basedOn w:val="13"/>
    <w:link w:val="4"/>
    <w:qFormat/>
    <w:uiPriority w:val="9"/>
    <w:rPr>
      <w:rFonts w:asciiTheme="majorHAnsi" w:hAnsiTheme="majorHAnsi" w:eastAsiaTheme="majorEastAsia" w:cstheme="majorBidi"/>
      <w:b/>
      <w:bCs/>
      <w:sz w:val="32"/>
      <w:szCs w:val="32"/>
    </w:rPr>
  </w:style>
  <w:style w:type="character" w:customStyle="1" w:styleId="16">
    <w:name w:val="纯文本 Char"/>
    <w:basedOn w:val="13"/>
    <w:link w:val="7"/>
    <w:qFormat/>
    <w:uiPriority w:val="99"/>
    <w:rPr>
      <w:rFonts w:hAnsi="Courier New" w:cs="Courier New" w:asciiTheme="minorEastAsia"/>
    </w:rPr>
  </w:style>
  <w:style w:type="character" w:customStyle="1" w:styleId="17">
    <w:name w:val="页眉 Char"/>
    <w:basedOn w:val="13"/>
    <w:link w:val="10"/>
    <w:qFormat/>
    <w:uiPriority w:val="99"/>
    <w:rPr>
      <w:sz w:val="18"/>
      <w:szCs w:val="18"/>
    </w:rPr>
  </w:style>
  <w:style w:type="character" w:customStyle="1" w:styleId="18">
    <w:name w:val="页脚 Char"/>
    <w:basedOn w:val="13"/>
    <w:link w:val="9"/>
    <w:qFormat/>
    <w:uiPriority w:val="99"/>
    <w:rPr>
      <w:sz w:val="18"/>
      <w:szCs w:val="18"/>
    </w:rPr>
  </w:style>
  <w:style w:type="character" w:customStyle="1" w:styleId="19">
    <w:name w:val="bjh-p"/>
    <w:basedOn w:val="13"/>
    <w:qFormat/>
    <w:uiPriority w:val="0"/>
  </w:style>
  <w:style w:type="paragraph" w:styleId="20">
    <w:name w:val="List Paragraph"/>
    <w:basedOn w:val="1"/>
    <w:qFormat/>
    <w:uiPriority w:val="34"/>
    <w:pPr>
      <w:ind w:firstLine="420" w:firstLineChars="200"/>
    </w:pPr>
  </w:style>
  <w:style w:type="character" w:customStyle="1" w:styleId="21">
    <w:name w:val="批注框文本 Char"/>
    <w:basedOn w:val="13"/>
    <w:link w:val="8"/>
    <w:semiHidden/>
    <w:qFormat/>
    <w:uiPriority w:val="99"/>
    <w:rPr>
      <w:sz w:val="18"/>
      <w:szCs w:val="18"/>
    </w:rPr>
  </w:style>
  <w:style w:type="paragraph" w:customStyle="1" w:styleId="22">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67734D-6E19-4F47-B3A3-09F25A4B69B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5711</Words>
  <Characters>5803</Characters>
  <Lines>40</Lines>
  <Paragraphs>11</Paragraphs>
  <TotalTime>18</TotalTime>
  <ScaleCrop>false</ScaleCrop>
  <LinksUpToDate>false</LinksUpToDate>
  <CharactersWithSpaces>5941</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2023-09-17T02:04:00Z</dcterms:created>
  <dc:creator>史胜</dc:creator>
  <cp:lastModifiedBy>`蕾蕾</cp:lastModifiedBy>
  <cp:lastPrinted>2024-03-25T01:01:05Z</cp:lastPrinted>
  <dcterms:modified xsi:type="dcterms:W3CDTF">2024-03-25T02:40:37Z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67FECB288CF44F8F9AD85C1C4276838E_13</vt:lpwstr>
  </property>
</Properties>
</file>