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112"/>
          <w:szCs w:val="112"/>
        </w:rPr>
      </w:pPr>
    </w:p>
    <w:p>
      <w:pPr>
        <w:jc w:val="center"/>
        <w:rPr>
          <w:rFonts w:ascii="仿宋" w:hAnsi="仿宋" w:eastAsia="仿宋" w:cs="仿宋"/>
          <w:b/>
          <w:bCs/>
          <w:sz w:val="112"/>
          <w:szCs w:val="112"/>
        </w:rPr>
      </w:pPr>
      <w:r>
        <w:rPr>
          <w:rFonts w:hint="eastAsia" w:ascii="仿宋" w:hAnsi="仿宋" w:eastAsia="仿宋" w:cs="仿宋"/>
          <w:b/>
          <w:bCs/>
          <w:sz w:val="112"/>
          <w:szCs w:val="112"/>
        </w:rPr>
        <w:t>重庆城市职业学院</w:t>
      </w:r>
    </w:p>
    <w:p/>
    <w:p/>
    <w:p/>
    <w:p>
      <w:pPr>
        <w:pStyle w:val="25"/>
      </w:pPr>
    </w:p>
    <w:p>
      <w:pPr>
        <w:spacing w:line="480" w:lineRule="auto"/>
        <w:jc w:val="center"/>
        <w:rPr>
          <w:rFonts w:ascii="仿宋" w:hAnsi="仿宋" w:eastAsia="仿宋" w:cs="仿宋"/>
          <w:b/>
          <w:bCs/>
          <w:sz w:val="96"/>
          <w:szCs w:val="96"/>
        </w:rPr>
      </w:pPr>
      <w:r>
        <w:rPr>
          <w:rFonts w:hint="eastAsia" w:ascii="仿宋" w:hAnsi="仿宋" w:eastAsia="仿宋" w:cs="仿宋"/>
          <w:b/>
          <w:bCs/>
          <w:sz w:val="96"/>
          <w:szCs w:val="96"/>
        </w:rPr>
        <w:t>竞争性磋商文件</w:t>
      </w:r>
    </w:p>
    <w:p/>
    <w:p/>
    <w:p/>
    <w:p>
      <w:pPr>
        <w:spacing w:line="480" w:lineRule="auto"/>
        <w:jc w:val="center"/>
        <w:rPr>
          <w:rFonts w:hint="eastAsia" w:eastAsia="仿宋"/>
          <w:lang w:eastAsia="zh-CN"/>
        </w:rPr>
      </w:pPr>
      <w:r>
        <w:rPr>
          <w:rFonts w:hint="eastAsia" w:ascii="仿宋" w:hAnsi="仿宋" w:eastAsia="仿宋" w:cs="仿宋"/>
          <w:b/>
          <w:bCs/>
          <w:sz w:val="36"/>
          <w:szCs w:val="30"/>
        </w:rPr>
        <w:t>项目名称：</w:t>
      </w:r>
      <w:r>
        <w:rPr>
          <w:rFonts w:hint="eastAsia" w:ascii="仿宋" w:hAnsi="仿宋" w:eastAsia="仿宋" w:cs="仿宋"/>
          <w:b/>
          <w:bCs/>
          <w:sz w:val="36"/>
          <w:szCs w:val="30"/>
          <w:lang w:eastAsia="zh-CN"/>
        </w:rPr>
        <w:t>第九届中国国际互联网+大学生创新创业大赛项目培育服务采购项目</w:t>
      </w:r>
    </w:p>
    <w:p>
      <w:pPr>
        <w:pStyle w:val="23"/>
        <w:rPr>
          <w:rFonts w:ascii="Times New Roman"/>
        </w:rPr>
      </w:pPr>
    </w:p>
    <w:p/>
    <w:p/>
    <w:p>
      <w:pPr>
        <w:pStyle w:val="25"/>
      </w:pPr>
    </w:p>
    <w:p>
      <w:pPr>
        <w:pStyle w:val="25"/>
      </w:pPr>
    </w:p>
    <w:p>
      <w:pPr>
        <w:pStyle w:val="25"/>
      </w:pPr>
    </w:p>
    <w:p>
      <w:pPr>
        <w:pStyle w:val="25"/>
      </w:pPr>
    </w:p>
    <w:p/>
    <w:p>
      <w:pPr>
        <w:spacing w:line="700" w:lineRule="exact"/>
        <w:jc w:val="center"/>
        <w:rPr>
          <w:rFonts w:ascii="仿宋" w:hAnsi="仿宋" w:eastAsia="仿宋" w:cs="仿宋"/>
          <w:b/>
          <w:bCs/>
          <w:sz w:val="36"/>
          <w:szCs w:val="30"/>
        </w:rPr>
      </w:pPr>
      <w:r>
        <w:rPr>
          <w:rFonts w:hint="eastAsia" w:ascii="仿宋" w:hAnsi="仿宋" w:eastAsia="仿宋" w:cs="仿宋"/>
          <w:b/>
          <w:bCs/>
          <w:sz w:val="36"/>
          <w:szCs w:val="30"/>
        </w:rPr>
        <w:t>采购人：重庆城市职业学院</w:t>
      </w:r>
    </w:p>
    <w:p/>
    <w:p>
      <w:pPr>
        <w:spacing w:line="700" w:lineRule="exact"/>
        <w:jc w:val="center"/>
        <w:rPr>
          <w:rFonts w:ascii="仿宋" w:hAnsi="仿宋" w:eastAsia="仿宋" w:cs="仿宋"/>
          <w:b/>
          <w:bCs/>
          <w:sz w:val="36"/>
          <w:szCs w:val="30"/>
        </w:rPr>
        <w:sectPr>
          <w:headerReference r:id="rId4"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仿宋" w:hAnsi="仿宋" w:eastAsia="仿宋" w:cs="仿宋"/>
          <w:b/>
          <w:bCs/>
          <w:sz w:val="36"/>
          <w:szCs w:val="30"/>
        </w:rPr>
        <w:t>二〇二</w:t>
      </w:r>
      <w:r>
        <w:rPr>
          <w:rFonts w:hint="eastAsia" w:ascii="仿宋" w:hAnsi="仿宋" w:eastAsia="仿宋" w:cs="仿宋"/>
          <w:b/>
          <w:bCs/>
          <w:sz w:val="36"/>
          <w:szCs w:val="30"/>
          <w:lang w:val="en-US" w:eastAsia="zh-CN"/>
        </w:rPr>
        <w:t>三</w:t>
      </w:r>
      <w:r>
        <w:rPr>
          <w:rFonts w:hint="eastAsia" w:ascii="仿宋" w:hAnsi="仿宋" w:eastAsia="仿宋" w:cs="仿宋"/>
          <w:b/>
          <w:bCs/>
          <w:sz w:val="36"/>
          <w:szCs w:val="30"/>
        </w:rPr>
        <w:t>年</w:t>
      </w:r>
      <w:r>
        <w:rPr>
          <w:rFonts w:hint="eastAsia" w:ascii="仿宋" w:hAnsi="仿宋" w:eastAsia="仿宋" w:cs="仿宋"/>
          <w:b/>
          <w:bCs/>
          <w:sz w:val="36"/>
          <w:szCs w:val="30"/>
          <w:lang w:val="en-US" w:eastAsia="zh-CN"/>
        </w:rPr>
        <w:t>三</w:t>
      </w:r>
      <w:r>
        <w:rPr>
          <w:rFonts w:hint="eastAsia" w:ascii="仿宋" w:hAnsi="仿宋" w:eastAsia="仿宋" w:cs="仿宋"/>
          <w:b/>
          <w:bCs/>
          <w:sz w:val="36"/>
          <w:szCs w:val="30"/>
        </w:rPr>
        <w:t>月</w:t>
      </w:r>
    </w:p>
    <w:p>
      <w:pPr>
        <w:pStyle w:val="4"/>
        <w:jc w:val="center"/>
        <w:rPr>
          <w:rFonts w:ascii="仿宋" w:hAnsi="仿宋" w:eastAsia="仿宋" w:cs="仿宋"/>
          <w:bCs/>
          <w:szCs w:val="30"/>
        </w:rPr>
      </w:pPr>
      <w:bookmarkStart w:id="0" w:name="_Toc56502253"/>
      <w:bookmarkStart w:id="1" w:name="_Toc12789052"/>
      <w:bookmarkStart w:id="2" w:name="_Toc11641050"/>
      <w:r>
        <w:rPr>
          <w:rFonts w:hint="eastAsia" w:ascii="仿宋" w:hAnsi="仿宋" w:eastAsia="仿宋" w:cs="仿宋"/>
          <w:bCs/>
          <w:sz w:val="36"/>
          <w:szCs w:val="30"/>
        </w:rPr>
        <w:t>第一篇  采购邀请书</w:t>
      </w:r>
      <w:bookmarkEnd w:id="0"/>
      <w:bookmarkEnd w:id="1"/>
      <w:bookmarkEnd w:id="2"/>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重庆城市职业学院对第九届中国国际互联网+大学生创新创业大赛项目培育服务以下项目进行竞争性磋商采购。欢迎有资格的供应商前来参与磋商。</w:t>
      </w:r>
    </w:p>
    <w:p>
      <w:pPr>
        <w:pStyle w:val="5"/>
        <w:spacing w:before="0" w:after="0" w:line="360" w:lineRule="auto"/>
        <w:rPr>
          <w:rFonts w:ascii="仿宋" w:hAnsi="仿宋" w:eastAsia="仿宋" w:cs="仿宋"/>
          <w:sz w:val="24"/>
          <w:szCs w:val="24"/>
        </w:rPr>
      </w:pPr>
      <w:bookmarkStart w:id="3" w:name="_Toc317775175"/>
      <w:bookmarkStart w:id="4" w:name="_Toc23974"/>
      <w:bookmarkStart w:id="5" w:name="_Toc56502254"/>
      <w:bookmarkStart w:id="6" w:name="_Toc313893526"/>
      <w:r>
        <w:rPr>
          <w:rFonts w:hint="eastAsia" w:ascii="仿宋" w:hAnsi="仿宋" w:eastAsia="仿宋" w:cs="仿宋"/>
          <w:sz w:val="24"/>
          <w:szCs w:val="24"/>
        </w:rPr>
        <w:t>一、竞争性磋商内容</w:t>
      </w:r>
      <w:bookmarkEnd w:id="3"/>
      <w:bookmarkEnd w:id="4"/>
      <w:bookmarkEnd w:id="5"/>
      <w:bookmarkEnd w:id="6"/>
    </w:p>
    <w:tbl>
      <w:tblPr>
        <w:tblStyle w:val="18"/>
        <w:tblW w:w="9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3782"/>
        <w:gridCol w:w="2067"/>
        <w:gridCol w:w="97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13"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b/>
                <w:bCs/>
                <w:kern w:val="0"/>
                <w:sz w:val="21"/>
                <w:szCs w:val="24"/>
                <w:lang w:eastAsia="zh-CN"/>
              </w:rPr>
            </w:pPr>
            <w:r>
              <w:rPr>
                <w:rFonts w:hint="eastAsia" w:ascii="仿宋" w:hAnsi="仿宋" w:eastAsia="仿宋" w:cs="仿宋"/>
                <w:b/>
                <w:bCs/>
                <w:kern w:val="0"/>
                <w:sz w:val="21"/>
                <w:szCs w:val="24"/>
                <w:lang w:val="en-US" w:eastAsia="zh-CN"/>
              </w:rPr>
              <w:t>序号</w:t>
            </w:r>
          </w:p>
        </w:tc>
        <w:tc>
          <w:tcPr>
            <w:tcW w:w="3782" w:type="dxa"/>
            <w:tcBorders>
              <w:top w:val="single" w:color="auto" w:sz="4" w:space="0"/>
              <w:left w:val="single" w:color="auto" w:sz="4" w:space="0"/>
              <w:right w:val="single" w:color="auto" w:sz="4" w:space="0"/>
            </w:tcBorders>
            <w:vAlign w:val="center"/>
          </w:tcPr>
          <w:p>
            <w:pPr>
              <w:jc w:val="center"/>
              <w:rPr>
                <w:rFonts w:hint="default" w:ascii="仿宋" w:hAnsi="仿宋" w:eastAsia="仿宋" w:cs="仿宋"/>
                <w:b/>
                <w:bCs/>
                <w:kern w:val="0"/>
                <w:sz w:val="21"/>
                <w:szCs w:val="24"/>
                <w:lang w:val="en-US" w:eastAsia="zh-CN"/>
              </w:rPr>
            </w:pPr>
            <w:r>
              <w:rPr>
                <w:rFonts w:hint="eastAsia" w:ascii="仿宋" w:hAnsi="仿宋" w:eastAsia="仿宋" w:cs="仿宋"/>
                <w:b/>
                <w:bCs/>
                <w:kern w:val="0"/>
                <w:sz w:val="21"/>
                <w:szCs w:val="24"/>
                <w:lang w:val="en-US" w:eastAsia="zh-CN"/>
              </w:rPr>
              <w:t>项目名称</w:t>
            </w:r>
          </w:p>
        </w:tc>
        <w:tc>
          <w:tcPr>
            <w:tcW w:w="2067"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最高限价</w:t>
            </w:r>
          </w:p>
          <w:p>
            <w:pPr>
              <w:jc w:val="center"/>
              <w:rPr>
                <w:rFonts w:ascii="仿宋" w:hAnsi="仿宋" w:eastAsia="仿宋" w:cs="仿宋"/>
                <w:b/>
                <w:bCs/>
                <w:kern w:val="0"/>
                <w:sz w:val="21"/>
                <w:szCs w:val="24"/>
              </w:rPr>
            </w:pPr>
            <w:r>
              <w:rPr>
                <w:rFonts w:hint="eastAsia" w:ascii="仿宋" w:hAnsi="仿宋" w:eastAsia="仿宋" w:cs="仿宋"/>
                <w:b/>
                <w:bCs/>
                <w:kern w:val="0"/>
                <w:sz w:val="21"/>
                <w:szCs w:val="24"/>
              </w:rPr>
              <w:t>（</w:t>
            </w:r>
            <w:r>
              <w:rPr>
                <w:rFonts w:hint="eastAsia" w:ascii="仿宋" w:hAnsi="仿宋" w:eastAsia="仿宋" w:cs="仿宋"/>
                <w:b/>
                <w:bCs/>
                <w:kern w:val="0"/>
                <w:sz w:val="21"/>
                <w:szCs w:val="24"/>
                <w:lang w:val="en-US" w:eastAsia="zh-CN"/>
              </w:rPr>
              <w:t>万</w:t>
            </w:r>
            <w:r>
              <w:rPr>
                <w:rFonts w:hint="eastAsia" w:ascii="仿宋" w:hAnsi="仿宋" w:eastAsia="仿宋" w:cs="仿宋"/>
                <w:b/>
                <w:bCs/>
                <w:kern w:val="0"/>
                <w:sz w:val="21"/>
                <w:szCs w:val="24"/>
              </w:rPr>
              <w:t>元）</w:t>
            </w:r>
          </w:p>
        </w:tc>
        <w:tc>
          <w:tcPr>
            <w:tcW w:w="976"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磋商保证金</w:t>
            </w:r>
          </w:p>
          <w:p>
            <w:pPr>
              <w:jc w:val="center"/>
              <w:rPr>
                <w:rFonts w:ascii="仿宋" w:hAnsi="仿宋" w:eastAsia="仿宋" w:cs="仿宋"/>
              </w:rPr>
            </w:pPr>
            <w:r>
              <w:rPr>
                <w:rFonts w:hint="eastAsia" w:ascii="仿宋" w:hAnsi="仿宋" w:eastAsia="仿宋" w:cs="仿宋"/>
                <w:b/>
                <w:bCs/>
                <w:kern w:val="0"/>
                <w:sz w:val="21"/>
                <w:szCs w:val="24"/>
              </w:rPr>
              <w:t>（万元）</w:t>
            </w:r>
          </w:p>
        </w:tc>
        <w:tc>
          <w:tcPr>
            <w:tcW w:w="1403" w:type="dxa"/>
            <w:tcBorders>
              <w:top w:val="single" w:color="auto" w:sz="4" w:space="0"/>
              <w:left w:val="single" w:color="auto" w:sz="4" w:space="0"/>
              <w:right w:val="single" w:color="auto" w:sz="4" w:space="0"/>
            </w:tcBorders>
            <w:vAlign w:val="center"/>
          </w:tcPr>
          <w:p>
            <w:pPr>
              <w:jc w:val="center"/>
              <w:rPr>
                <w:rFonts w:ascii="仿宋" w:hAnsi="仿宋" w:eastAsia="仿宋" w:cs="仿宋"/>
                <w:b/>
                <w:bCs/>
                <w:kern w:val="0"/>
                <w:sz w:val="21"/>
                <w:szCs w:val="24"/>
              </w:rPr>
            </w:pPr>
            <w:r>
              <w:rPr>
                <w:rFonts w:hint="eastAsia" w:ascii="仿宋" w:hAnsi="仿宋" w:eastAsia="仿宋" w:cs="仿宋"/>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13" w:type="dxa"/>
            <w:tcBorders>
              <w:top w:val="single" w:color="auto" w:sz="4" w:space="0"/>
              <w:left w:val="single" w:color="auto" w:sz="4" w:space="0"/>
              <w:right w:val="single" w:color="auto" w:sz="4" w:space="0"/>
            </w:tcBorders>
            <w:vAlign w:val="center"/>
          </w:tcPr>
          <w:p>
            <w:pPr>
              <w:jc w:val="center"/>
              <w:outlineLvl w:val="0"/>
              <w:rPr>
                <w:rFonts w:hint="default" w:ascii="仿宋" w:hAnsi="仿宋" w:eastAsia="仿宋" w:cs="仿宋"/>
                <w:kern w:val="0"/>
                <w:sz w:val="24"/>
                <w:szCs w:val="24"/>
                <w:lang w:val="en-US" w:eastAsia="zh-CN"/>
              </w:rPr>
            </w:pPr>
            <w:bookmarkStart w:id="7" w:name="_Hlk344477914"/>
            <w:r>
              <w:rPr>
                <w:rFonts w:hint="eastAsia" w:ascii="仿宋" w:hAnsi="仿宋" w:eastAsia="仿宋" w:cs="仿宋"/>
                <w:kern w:val="0"/>
                <w:sz w:val="24"/>
                <w:szCs w:val="24"/>
                <w:lang w:val="en-US" w:eastAsia="zh-CN"/>
              </w:rPr>
              <w:t>1</w:t>
            </w:r>
          </w:p>
        </w:tc>
        <w:tc>
          <w:tcPr>
            <w:tcW w:w="3782" w:type="dxa"/>
            <w:tcBorders>
              <w:top w:val="single" w:color="auto" w:sz="4" w:space="0"/>
              <w:left w:val="single" w:color="auto" w:sz="4" w:space="0"/>
              <w:right w:val="single" w:color="auto" w:sz="4" w:space="0"/>
            </w:tcBorders>
            <w:vAlign w:val="center"/>
          </w:tcPr>
          <w:p>
            <w:pPr>
              <w:jc w:val="left"/>
              <w:outlineLvl w:val="0"/>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第九届中国国际互联网+大学生创新创业大赛项目培育服务采购项目</w:t>
            </w:r>
          </w:p>
        </w:tc>
        <w:tc>
          <w:tcPr>
            <w:tcW w:w="20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9.1万元</w:t>
            </w:r>
          </w:p>
        </w:tc>
        <w:tc>
          <w:tcPr>
            <w:tcW w:w="976" w:type="dxa"/>
            <w:tcBorders>
              <w:top w:val="single" w:color="auto" w:sz="4" w:space="0"/>
              <w:left w:val="single" w:color="auto" w:sz="4" w:space="0"/>
              <w:right w:val="single" w:color="auto" w:sz="4" w:space="0"/>
            </w:tcBorders>
            <w:vAlign w:val="center"/>
          </w:tcPr>
          <w:p>
            <w:pPr>
              <w:jc w:val="center"/>
              <w:outlineLvl w:val="0"/>
              <w:rPr>
                <w:rFonts w:ascii="仿宋" w:hAnsi="仿宋" w:eastAsia="仿宋" w:cs="仿宋"/>
                <w:bCs/>
                <w:sz w:val="24"/>
                <w:szCs w:val="24"/>
              </w:rPr>
            </w:pPr>
            <w:r>
              <w:rPr>
                <w:rFonts w:hint="eastAsia" w:ascii="仿宋" w:hAnsi="仿宋" w:eastAsia="仿宋" w:cs="仿宋"/>
                <w:bCs/>
                <w:sz w:val="24"/>
                <w:szCs w:val="24"/>
                <w:lang w:val="en-US" w:eastAsia="zh-CN"/>
              </w:rPr>
              <w:t>0.182</w:t>
            </w:r>
            <w:r>
              <w:rPr>
                <w:rFonts w:hint="eastAsia" w:ascii="仿宋" w:hAnsi="仿宋" w:eastAsia="仿宋" w:cs="仿宋"/>
                <w:bCs/>
                <w:sz w:val="24"/>
                <w:szCs w:val="24"/>
              </w:rPr>
              <w:t>万元</w:t>
            </w:r>
          </w:p>
        </w:tc>
        <w:tc>
          <w:tcPr>
            <w:tcW w:w="1403" w:type="dxa"/>
            <w:tcBorders>
              <w:top w:val="single" w:color="auto" w:sz="4" w:space="0"/>
              <w:left w:val="single" w:color="auto" w:sz="4" w:space="0"/>
              <w:right w:val="single" w:color="auto" w:sz="4" w:space="0"/>
            </w:tcBorders>
            <w:vAlign w:val="center"/>
          </w:tcPr>
          <w:p>
            <w:pPr>
              <w:jc w:val="center"/>
              <w:outlineLvl w:val="0"/>
              <w:rPr>
                <w:rFonts w:ascii="仿宋" w:hAnsi="仿宋" w:eastAsia="仿宋" w:cs="仿宋"/>
                <w:bCs/>
                <w:sz w:val="24"/>
                <w:szCs w:val="24"/>
              </w:rPr>
            </w:pPr>
            <w:r>
              <w:rPr>
                <w:rFonts w:hint="eastAsia" w:ascii="仿宋" w:hAnsi="仿宋" w:eastAsia="仿宋" w:cs="仿宋"/>
                <w:bCs/>
                <w:sz w:val="24"/>
                <w:szCs w:val="24"/>
              </w:rPr>
              <w:t>1</w:t>
            </w:r>
          </w:p>
        </w:tc>
      </w:tr>
      <w:bookmarkEnd w:id="7"/>
    </w:tbl>
    <w:p>
      <w:pPr>
        <w:pStyle w:val="5"/>
        <w:spacing w:before="0" w:after="0" w:line="360" w:lineRule="auto"/>
        <w:rPr>
          <w:rFonts w:ascii="仿宋" w:hAnsi="仿宋" w:eastAsia="仿宋" w:cs="仿宋"/>
          <w:sz w:val="24"/>
          <w:szCs w:val="24"/>
        </w:rPr>
      </w:pPr>
      <w:bookmarkStart w:id="8" w:name="_Toc22678"/>
      <w:bookmarkStart w:id="9" w:name="_Toc56502255"/>
      <w:bookmarkStart w:id="10" w:name="_Toc373860293"/>
      <w:bookmarkStart w:id="11" w:name="_Toc317775178"/>
      <w:r>
        <w:rPr>
          <w:rFonts w:hint="eastAsia" w:ascii="仿宋" w:hAnsi="仿宋" w:eastAsia="仿宋" w:cs="仿宋"/>
          <w:sz w:val="24"/>
          <w:szCs w:val="24"/>
        </w:rPr>
        <w:t>二、资金来源</w:t>
      </w:r>
      <w:bookmarkEnd w:id="8"/>
      <w:bookmarkEnd w:id="9"/>
    </w:p>
    <w:p>
      <w:pPr>
        <w:spacing w:line="360" w:lineRule="auto"/>
        <w:ind w:firstLine="480" w:firstLineChars="200"/>
        <w:rPr>
          <w:rFonts w:ascii="仿宋" w:hAnsi="仿宋" w:eastAsia="仿宋" w:cs="仿宋"/>
          <w:sz w:val="24"/>
          <w:szCs w:val="24"/>
        </w:rPr>
      </w:pPr>
      <w:bookmarkStart w:id="12" w:name="_Toc11278"/>
      <w:r>
        <w:rPr>
          <w:rFonts w:hint="eastAsia" w:ascii="仿宋" w:hAnsi="仿宋" w:eastAsia="仿宋" w:cs="仿宋"/>
          <w:sz w:val="24"/>
          <w:szCs w:val="24"/>
        </w:rPr>
        <w:t>自筹资金</w:t>
      </w:r>
    </w:p>
    <w:p>
      <w:pPr>
        <w:pStyle w:val="5"/>
        <w:spacing w:before="0" w:after="0" w:line="360" w:lineRule="auto"/>
        <w:rPr>
          <w:rFonts w:ascii="仿宋" w:hAnsi="仿宋" w:eastAsia="仿宋" w:cs="仿宋"/>
          <w:sz w:val="24"/>
          <w:szCs w:val="24"/>
        </w:rPr>
      </w:pPr>
      <w:bookmarkStart w:id="13" w:name="_Toc56502256"/>
      <w:r>
        <w:rPr>
          <w:rFonts w:hint="eastAsia" w:ascii="仿宋" w:hAnsi="仿宋" w:eastAsia="仿宋" w:cs="仿宋"/>
          <w:sz w:val="24"/>
          <w:szCs w:val="24"/>
        </w:rPr>
        <w:t>三、供应商资格条件</w:t>
      </w:r>
      <w:bookmarkEnd w:id="12"/>
      <w:bookmarkEnd w:id="13"/>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（一）供应商是指向采购人提供服务或者货物的法人、其他组织或者自然人。合格的供应商应首先符合政府采购法第二十二条规定的基本资格条件。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1.具有独立承担民事责任的能力；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6.法律、行政法规规定的其他条件。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（二）落实政府采购政策需满足的资格要求：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无。</w:t>
      </w:r>
    </w:p>
    <w:p>
      <w:pPr>
        <w:pStyle w:val="27"/>
        <w:numPr>
          <w:ilvl w:val="0"/>
          <w:numId w:val="2"/>
        </w:numPr>
        <w:spacing w:line="360" w:lineRule="auto"/>
        <w:ind w:firstLine="480"/>
        <w:rPr>
          <w:rFonts w:ascii="仿宋" w:hAnsi="仿宋" w:eastAsia="仿宋" w:cs="仿宋"/>
          <w:sz w:val="24"/>
          <w:szCs w:val="24"/>
        </w:rPr>
      </w:pPr>
      <w:r>
        <w:rPr>
          <w:rFonts w:hint="eastAsia" w:ascii="仿宋" w:hAnsi="仿宋" w:eastAsia="仿宋" w:cs="仿宋"/>
          <w:sz w:val="24"/>
          <w:szCs w:val="24"/>
        </w:rPr>
        <w:t>特定资格条件</w:t>
      </w:r>
    </w:p>
    <w:p>
      <w:pPr>
        <w:pStyle w:val="27"/>
        <w:spacing w:line="360" w:lineRule="auto"/>
        <w:ind w:firstLine="0" w:firstLineChars="0"/>
        <w:rPr>
          <w:rFonts w:ascii="仿宋" w:hAnsi="仿宋" w:eastAsia="仿宋" w:cs="仿宋"/>
          <w:sz w:val="24"/>
          <w:szCs w:val="24"/>
        </w:rPr>
      </w:pPr>
      <w:r>
        <w:rPr>
          <w:rFonts w:hint="eastAsia" w:ascii="仿宋" w:hAnsi="仿宋" w:eastAsia="仿宋" w:cs="仿宋"/>
          <w:sz w:val="24"/>
          <w:szCs w:val="24"/>
        </w:rPr>
        <w:t xml:space="preserve">    无。</w:t>
      </w:r>
    </w:p>
    <w:p>
      <w:pPr>
        <w:pStyle w:val="5"/>
        <w:spacing w:before="0" w:after="0" w:line="360" w:lineRule="auto"/>
        <w:rPr>
          <w:rFonts w:ascii="仿宋" w:hAnsi="仿宋" w:eastAsia="仿宋" w:cs="仿宋"/>
          <w:sz w:val="24"/>
          <w:szCs w:val="24"/>
        </w:rPr>
      </w:pPr>
      <w:bookmarkStart w:id="14" w:name="_Toc56502257"/>
      <w:bookmarkStart w:id="15" w:name="_Toc8575"/>
      <w:r>
        <w:rPr>
          <w:rFonts w:hint="eastAsia" w:ascii="仿宋" w:hAnsi="仿宋" w:eastAsia="仿宋" w:cs="仿宋"/>
          <w:sz w:val="24"/>
          <w:szCs w:val="24"/>
        </w:rPr>
        <w:t>四、磋商有关说明</w:t>
      </w:r>
      <w:bookmarkEnd w:id="10"/>
      <w:bookmarkEnd w:id="14"/>
      <w:bookmarkEnd w:id="15"/>
    </w:p>
    <w:p>
      <w:pPr>
        <w:spacing w:line="360" w:lineRule="auto"/>
        <w:ind w:firstLine="480" w:firstLineChars="200"/>
        <w:rPr>
          <w:rFonts w:ascii="仿宋" w:hAnsi="仿宋" w:eastAsia="仿宋" w:cs="仿宋"/>
          <w:sz w:val="24"/>
          <w:szCs w:val="24"/>
        </w:rPr>
      </w:pPr>
      <w:bookmarkStart w:id="16" w:name="_Toc31631"/>
      <w:bookmarkStart w:id="17" w:name="_Toc7267"/>
      <w:bookmarkStart w:id="18" w:name="_Toc373860294"/>
      <w:r>
        <w:rPr>
          <w:rFonts w:hint="eastAsia" w:ascii="仿宋" w:hAnsi="仿宋" w:eastAsia="仿宋" w:cs="仿宋"/>
          <w:sz w:val="24"/>
          <w:szCs w:val="24"/>
        </w:rPr>
        <w:t>（一）凡有意参加磋商的供应商，请于公告发布之日（20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31</w:t>
      </w:r>
      <w:r>
        <w:rPr>
          <w:rFonts w:hint="eastAsia" w:ascii="仿宋" w:hAnsi="仿宋" w:eastAsia="仿宋" w:cs="仿宋"/>
          <w:sz w:val="24"/>
          <w:szCs w:val="24"/>
        </w:rPr>
        <w:t>日）起至提交首次响应文件截止时间之前，在重庆城市职业学院官网上下载本项目竞争性磋商文件、澄清等磋商前公布的所有项目资料，无论供应商下载与否，均视为已知晓所有磋商实质性要求内容。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（二）竞争性磋商文件公告期限</w:t>
      </w:r>
      <w:r>
        <w:rPr>
          <w:rFonts w:hint="eastAsia" w:ascii="仿宋" w:hAnsi="仿宋" w:eastAsia="仿宋" w:cs="仿宋"/>
          <w:sz w:val="24"/>
          <w:szCs w:val="24"/>
          <w:lang w:val="en-US" w:eastAsia="zh-CN"/>
        </w:rPr>
        <w:t>：2023年3月31</w:t>
      </w:r>
      <w:r>
        <w:rPr>
          <w:rFonts w:hint="eastAsia" w:ascii="仿宋" w:hAnsi="仿宋" w:eastAsia="仿宋" w:cs="仿宋"/>
          <w:sz w:val="24"/>
          <w:szCs w:val="24"/>
        </w:rPr>
        <w:t>日</w:t>
      </w:r>
      <w:r>
        <w:rPr>
          <w:rFonts w:hint="eastAsia" w:ascii="仿宋" w:hAnsi="仿宋" w:eastAsia="仿宋" w:cs="仿宋"/>
          <w:sz w:val="24"/>
          <w:szCs w:val="24"/>
          <w:lang w:val="en-US" w:eastAsia="zh-CN"/>
        </w:rPr>
        <w:t>至2023年4</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p>
    <w:p>
      <w:pPr>
        <w:numPr>
          <w:ilvl w:val="0"/>
          <w:numId w:val="3"/>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投标文件递交地点：重庆市永川区兴龙大道1099号重庆城市职业学院博学馆402-1。</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响应文件递交开始时间：202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9</w:t>
      </w:r>
      <w:r>
        <w:rPr>
          <w:rFonts w:hint="eastAsia" w:ascii="仿宋" w:hAnsi="仿宋" w:eastAsia="仿宋" w:cs="仿宋"/>
          <w:sz w:val="24"/>
          <w:szCs w:val="24"/>
        </w:rPr>
        <w:t>:30；</w:t>
      </w:r>
    </w:p>
    <w:p>
      <w:pPr>
        <w:numPr>
          <w:ilvl w:val="0"/>
          <w:numId w:val="3"/>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响应文件递交截止时间：20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10</w:t>
      </w:r>
      <w:r>
        <w:rPr>
          <w:rFonts w:hint="eastAsia" w:ascii="仿宋" w:hAnsi="仿宋" w:eastAsia="仿宋" w:cs="仿宋"/>
          <w:sz w:val="24"/>
          <w:szCs w:val="24"/>
        </w:rPr>
        <w:t>:00；</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（六）磋商时间：20</w:t>
      </w:r>
      <w:r>
        <w:rPr>
          <w:rFonts w:hint="eastAsia" w:ascii="仿宋" w:hAnsi="仿宋" w:eastAsia="仿宋" w:cs="仿宋"/>
          <w:sz w:val="24"/>
          <w:szCs w:val="24"/>
          <w:lang w:val="en-US" w:eastAsia="zh-CN"/>
        </w:rPr>
        <w:t>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日北京时间</w:t>
      </w:r>
      <w:r>
        <w:rPr>
          <w:rFonts w:hint="eastAsia" w:ascii="仿宋" w:hAnsi="仿宋" w:eastAsia="仿宋" w:cs="仿宋"/>
          <w:sz w:val="24"/>
          <w:szCs w:val="24"/>
          <w:lang w:val="en-US" w:eastAsia="zh-CN"/>
        </w:rPr>
        <w:t>10</w:t>
      </w:r>
      <w:r>
        <w:rPr>
          <w:rFonts w:hint="eastAsia" w:ascii="仿宋" w:hAnsi="仿宋" w:eastAsia="仿宋" w:cs="仿宋"/>
          <w:sz w:val="24"/>
          <w:szCs w:val="24"/>
        </w:rPr>
        <w:t>:00；</w:t>
      </w:r>
    </w:p>
    <w:p>
      <w:pPr>
        <w:spacing w:line="360" w:lineRule="auto"/>
        <w:ind w:firstLine="480" w:firstLineChars="200"/>
        <w:rPr>
          <w:rFonts w:ascii="仿宋" w:hAnsi="仿宋" w:eastAsia="仿宋" w:cs="仿宋"/>
          <w:sz w:val="24"/>
          <w:szCs w:val="24"/>
          <w:highlight w:val="yellow"/>
        </w:rPr>
      </w:pPr>
      <w:r>
        <w:rPr>
          <w:rFonts w:hint="eastAsia" w:ascii="仿宋" w:hAnsi="仿宋" w:eastAsia="仿宋" w:cs="仿宋"/>
          <w:sz w:val="24"/>
          <w:szCs w:val="24"/>
        </w:rPr>
        <w:t>（七）磋商地点：重庆市永川区兴龙大道1099号重庆城市职业学院博学馆招投标办公室。</w:t>
      </w:r>
    </w:p>
    <w:p>
      <w:pPr>
        <w:pStyle w:val="5"/>
        <w:spacing w:before="0" w:after="0" w:line="360" w:lineRule="auto"/>
        <w:rPr>
          <w:rFonts w:ascii="仿宋" w:hAnsi="仿宋" w:eastAsia="仿宋" w:cs="仿宋"/>
          <w:sz w:val="24"/>
          <w:szCs w:val="24"/>
        </w:rPr>
      </w:pPr>
      <w:bookmarkStart w:id="19" w:name="_Toc56502258"/>
      <w:r>
        <w:rPr>
          <w:rFonts w:hint="eastAsia" w:ascii="仿宋" w:hAnsi="仿宋" w:eastAsia="仿宋" w:cs="仿宋"/>
          <w:sz w:val="24"/>
          <w:szCs w:val="24"/>
        </w:rPr>
        <w:t>五、保证金</w:t>
      </w:r>
      <w:bookmarkEnd w:id="16"/>
      <w:bookmarkEnd w:id="17"/>
      <w:bookmarkEnd w:id="19"/>
    </w:p>
    <w:p>
      <w:pPr>
        <w:spacing w:line="360" w:lineRule="auto"/>
        <w:ind w:firstLine="480" w:firstLineChars="200"/>
        <w:rPr>
          <w:rFonts w:ascii="仿宋" w:hAnsi="仿宋" w:eastAsia="仿宋" w:cs="仿宋"/>
          <w:sz w:val="24"/>
          <w:szCs w:val="24"/>
        </w:rPr>
      </w:pPr>
      <w:bookmarkStart w:id="20" w:name="_Toc24677"/>
      <w:r>
        <w:rPr>
          <w:rFonts w:hint="eastAsia" w:ascii="仿宋" w:hAnsi="仿宋" w:eastAsia="仿宋" w:cs="仿宋"/>
          <w:sz w:val="24"/>
          <w:szCs w:val="24"/>
        </w:rPr>
        <w:t>（一）磋商保证金递交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1.供应商应足额缴纳磋商保证金（保证金金额详见本篇，一、招标项目内容），现金递交，磋商时用厚牛皮纸信封密封，标明单位名称并盖章，与磋商文件一并提交。</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（二）保证金退还方式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1.第一成交候选人以外的投标单位在开标结束后当场退还；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2.成交人的投标保证金在合同签订后三个工作日内一次性无息退还。</w:t>
      </w:r>
    </w:p>
    <w:p>
      <w:pPr>
        <w:pStyle w:val="5"/>
        <w:spacing w:before="0" w:after="0" w:line="360" w:lineRule="auto"/>
        <w:rPr>
          <w:rFonts w:ascii="仿宋" w:hAnsi="仿宋" w:eastAsia="仿宋" w:cs="仿宋"/>
          <w:sz w:val="24"/>
          <w:szCs w:val="24"/>
        </w:rPr>
      </w:pPr>
      <w:bookmarkStart w:id="21" w:name="_Toc56502259"/>
      <w:r>
        <w:rPr>
          <w:rFonts w:hint="eastAsia" w:ascii="仿宋" w:hAnsi="仿宋" w:eastAsia="仿宋" w:cs="仿宋"/>
          <w:sz w:val="24"/>
          <w:szCs w:val="24"/>
        </w:rPr>
        <w:t>六、</w:t>
      </w:r>
      <w:bookmarkEnd w:id="11"/>
      <w:bookmarkEnd w:id="18"/>
      <w:bookmarkStart w:id="22" w:name="_Toc479668114"/>
      <w:bookmarkStart w:id="23" w:name="_Toc480466698"/>
      <w:r>
        <w:rPr>
          <w:rFonts w:hint="eastAsia" w:ascii="仿宋" w:hAnsi="仿宋" w:eastAsia="仿宋" w:cs="仿宋"/>
          <w:sz w:val="24"/>
          <w:szCs w:val="24"/>
        </w:rPr>
        <w:t>采购项目需落实的政府采购政策</w:t>
      </w:r>
      <w:bookmarkEnd w:id="20"/>
      <w:bookmarkEnd w:id="21"/>
      <w:bookmarkEnd w:id="22"/>
      <w:bookmarkEnd w:id="23"/>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（二）按照《财政部 工业和信息化部关于印发</w:t>
      </w:r>
      <w:r>
        <w:rPr>
          <w:rFonts w:hint="eastAsia" w:ascii="仿宋" w:hAnsi="仿宋" w:eastAsia="仿宋" w:cs="仿宋"/>
          <w:sz w:val="24"/>
          <w:szCs w:val="24"/>
          <w:lang w:eastAsia="zh-CN"/>
        </w:rPr>
        <w:t>〈</w:t>
      </w:r>
      <w:r>
        <w:rPr>
          <w:rFonts w:hint="eastAsia" w:ascii="仿宋" w:hAnsi="仿宋" w:eastAsia="仿宋" w:cs="仿宋"/>
          <w:sz w:val="24"/>
          <w:szCs w:val="24"/>
        </w:rPr>
        <w:t>政府采购促进中小企业发展管理办法</w:t>
      </w:r>
      <w:r>
        <w:rPr>
          <w:rFonts w:hint="eastAsia" w:ascii="仿宋" w:hAnsi="仿宋" w:eastAsia="仿宋" w:cs="仿宋"/>
          <w:sz w:val="24"/>
          <w:szCs w:val="24"/>
          <w:lang w:eastAsia="zh-CN"/>
        </w:rPr>
        <w:t>〉</w:t>
      </w:r>
      <w:r>
        <w:rPr>
          <w:rFonts w:hint="eastAsia" w:ascii="仿宋" w:hAnsi="仿宋" w:eastAsia="仿宋" w:cs="仿宋"/>
          <w:sz w:val="24"/>
          <w:szCs w:val="24"/>
        </w:rPr>
        <w:t>的通知》（财库〔2020〕46号）的规定，落实促进中小企业发展政策。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（三）按照</w:t>
      </w:r>
      <w:r>
        <w:rPr>
          <w:rFonts w:hint="eastAsia" w:ascii="仿宋" w:hAnsi="仿宋" w:eastAsia="仿宋" w:cs="仿宋"/>
          <w:sz w:val="24"/>
          <w:szCs w:val="24"/>
          <w:lang w:eastAsia="zh-CN"/>
        </w:rPr>
        <w:t>〈</w:t>
      </w:r>
      <w:r>
        <w:rPr>
          <w:rFonts w:hint="eastAsia" w:ascii="仿宋" w:hAnsi="仿宋" w:eastAsia="仿宋" w:cs="仿宋"/>
          <w:sz w:val="24"/>
          <w:szCs w:val="24"/>
        </w:rPr>
        <w:t>财政部、司法部关于政府采购支持监狱企业发展有关问题的通知</w:t>
      </w:r>
      <w:r>
        <w:rPr>
          <w:rFonts w:hint="eastAsia" w:ascii="仿宋" w:hAnsi="仿宋" w:eastAsia="仿宋" w:cs="仿宋"/>
          <w:sz w:val="24"/>
          <w:szCs w:val="24"/>
          <w:lang w:eastAsia="zh-CN"/>
        </w:rPr>
        <w:t>〉</w:t>
      </w:r>
      <w:r>
        <w:rPr>
          <w:rFonts w:hint="eastAsia" w:ascii="仿宋" w:hAnsi="仿宋" w:eastAsia="仿宋" w:cs="仿宋"/>
          <w:sz w:val="24"/>
          <w:szCs w:val="24"/>
        </w:rPr>
        <w:t>（财库〔2014〕68号）的规定，落实支持监狱企业发展政策。</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（四）按照《三部门联合发布关于促进残疾人就业政府采购政策的通知》（财库〔2017〕141号）的规定，落实支持残疾人福利性单位发展政策。</w:t>
      </w:r>
    </w:p>
    <w:p>
      <w:pPr>
        <w:pStyle w:val="5"/>
        <w:spacing w:before="0" w:after="0" w:line="360" w:lineRule="auto"/>
        <w:rPr>
          <w:rFonts w:ascii="仿宋" w:hAnsi="仿宋" w:eastAsia="仿宋" w:cs="仿宋"/>
          <w:sz w:val="24"/>
          <w:szCs w:val="24"/>
        </w:rPr>
      </w:pPr>
      <w:bookmarkStart w:id="24" w:name="_Toc56502260"/>
      <w:bookmarkStart w:id="25" w:name="_Toc480466699"/>
      <w:bookmarkStart w:id="26" w:name="_Toc12860"/>
      <w:r>
        <w:rPr>
          <w:rFonts w:hint="eastAsia" w:ascii="仿宋" w:hAnsi="仿宋" w:eastAsia="仿宋" w:cs="仿宋"/>
          <w:sz w:val="24"/>
          <w:szCs w:val="24"/>
        </w:rPr>
        <w:t>七、</w:t>
      </w:r>
      <w:r>
        <w:rPr>
          <w:rFonts w:hint="eastAsia" w:ascii="仿宋" w:hAnsi="仿宋" w:eastAsia="仿宋" w:cs="仿宋"/>
          <w:sz w:val="24"/>
          <w:szCs w:val="24"/>
          <w:lang w:eastAsia="zh-CN"/>
        </w:rPr>
        <w:t>其他</w:t>
      </w:r>
      <w:r>
        <w:rPr>
          <w:rFonts w:hint="eastAsia" w:ascii="仿宋" w:hAnsi="仿宋" w:eastAsia="仿宋" w:cs="仿宋"/>
          <w:sz w:val="24"/>
          <w:szCs w:val="24"/>
        </w:rPr>
        <w:t>有关规定</w:t>
      </w:r>
      <w:bookmarkEnd w:id="24"/>
      <w:bookmarkEnd w:id="25"/>
      <w:bookmarkEnd w:id="26"/>
    </w:p>
    <w:p>
      <w:pPr>
        <w:spacing w:line="360" w:lineRule="auto"/>
        <w:ind w:firstLine="480" w:firstLineChars="200"/>
        <w:rPr>
          <w:rFonts w:ascii="仿宋" w:hAnsi="仿宋" w:eastAsia="仿宋" w:cs="仿宋"/>
          <w:sz w:val="24"/>
          <w:szCs w:val="24"/>
        </w:rPr>
      </w:pPr>
      <w:bookmarkStart w:id="27" w:name="_Toc480466700"/>
      <w:bookmarkStart w:id="28" w:name="_Toc28508"/>
      <w:r>
        <w:rPr>
          <w:rFonts w:hint="eastAsia" w:ascii="仿宋" w:hAnsi="仿宋" w:eastAsia="仿宋" w:cs="仿宋"/>
          <w:sz w:val="24"/>
          <w:szCs w:val="24"/>
        </w:rPr>
        <w:t>（一）单位负责人为同一人或者存在直接控股、</w:t>
      </w:r>
      <w:r>
        <w:rPr>
          <w:rFonts w:hint="eastAsia" w:ascii="仿宋" w:hAnsi="仿宋" w:eastAsia="仿宋" w:cs="仿宋"/>
          <w:sz w:val="24"/>
          <w:szCs w:val="24"/>
          <w:lang w:val="en-US" w:eastAsia="zh-CN"/>
        </w:rPr>
        <w:t>间接控股</w:t>
      </w:r>
      <w:r>
        <w:rPr>
          <w:rFonts w:hint="eastAsia" w:ascii="仿宋" w:hAnsi="仿宋" w:eastAsia="仿宋" w:cs="仿宋"/>
          <w:sz w:val="24"/>
          <w:szCs w:val="24"/>
        </w:rPr>
        <w:t>管理关系的不同供应商，不得参加同一合同项（分包）下的政府采购活动，否则均为无效响应。</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（二）为采购项目提供整体设计、规范编制或者项目管理、监理、检测等服务的供应商，不得再参加该采购项目的其他采购活动。</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（三）本项目的补遗文件（如果有）一律在</w:t>
      </w:r>
      <w:r>
        <w:rPr>
          <w:rFonts w:hint="eastAsia" w:ascii="仿宋" w:hAnsi="仿宋" w:eastAsia="仿宋" w:cs="仿宋"/>
          <w:sz w:val="24"/>
          <w:szCs w:val="24"/>
          <w:u w:val="single"/>
        </w:rPr>
        <w:t>重庆城市职业学院官网</w:t>
      </w:r>
      <w:r>
        <w:rPr>
          <w:rFonts w:hint="eastAsia" w:ascii="仿宋" w:hAnsi="仿宋" w:eastAsia="仿宋" w:cs="仿宋"/>
          <w:sz w:val="24"/>
          <w:szCs w:val="24"/>
        </w:rPr>
        <w:t>下载；无论供应商领取与否，均视同供应商已知晓本项目补遗文件（如果有）的内容。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（四）超过响应文件截止时间递交的响应文件，</w:t>
      </w:r>
      <w:r>
        <w:rPr>
          <w:rFonts w:hint="eastAsia" w:ascii="仿宋" w:hAnsi="仿宋" w:eastAsia="仿宋" w:cs="仿宋"/>
          <w:sz w:val="24"/>
          <w:szCs w:val="24"/>
          <w:lang w:val="en-US" w:eastAsia="zh-CN"/>
        </w:rPr>
        <w:t>概</w:t>
      </w:r>
      <w:r>
        <w:rPr>
          <w:rFonts w:hint="eastAsia" w:ascii="仿宋" w:hAnsi="仿宋" w:eastAsia="仿宋" w:cs="仿宋"/>
          <w:sz w:val="24"/>
          <w:szCs w:val="24"/>
        </w:rPr>
        <w:t>不接收。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（五）磋商费用：无论磋商结果如何，供应商参与本项目磋商的所有费用均应由供应商自行承担。</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（六）本项目不接受联合体参与磋商。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5"/>
        <w:spacing w:before="0" w:after="0" w:line="360" w:lineRule="auto"/>
        <w:rPr>
          <w:rFonts w:ascii="仿宋" w:hAnsi="仿宋" w:eastAsia="仿宋" w:cs="仿宋"/>
          <w:sz w:val="24"/>
          <w:szCs w:val="24"/>
        </w:rPr>
      </w:pPr>
      <w:bookmarkStart w:id="29" w:name="_Toc56502261"/>
      <w:r>
        <w:rPr>
          <w:rFonts w:hint="eastAsia" w:ascii="仿宋" w:hAnsi="仿宋" w:eastAsia="仿宋" w:cs="仿宋"/>
          <w:sz w:val="24"/>
          <w:szCs w:val="24"/>
        </w:rPr>
        <w:t>八、联系方式</w:t>
      </w:r>
      <w:bookmarkEnd w:id="27"/>
      <w:bookmarkEnd w:id="28"/>
      <w:bookmarkEnd w:id="2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（一）采购人：重庆城市职业学院</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联系人：代老师/张老师</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电  话：023-49570178</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地  址：重庆市永川区兴龙大道1099号 </w:t>
      </w:r>
    </w:p>
    <w:p>
      <w:pPr>
        <w:rPr>
          <w:rFonts w:ascii="仿宋" w:hAnsi="仿宋" w:eastAsia="仿宋" w:cs="仿宋"/>
          <w:b/>
          <w:bCs/>
          <w:sz w:val="36"/>
          <w:szCs w:val="30"/>
        </w:rPr>
      </w:pPr>
      <w:bookmarkStart w:id="30" w:name="_Toc56502262"/>
      <w:bookmarkStart w:id="31" w:name="_Toc8747"/>
      <w:r>
        <w:rPr>
          <w:rFonts w:hint="eastAsia" w:ascii="仿宋" w:hAnsi="仿宋" w:eastAsia="仿宋" w:cs="仿宋"/>
          <w:b/>
          <w:bCs/>
          <w:sz w:val="36"/>
          <w:szCs w:val="30"/>
        </w:rPr>
        <w:br w:type="page"/>
      </w:r>
    </w:p>
    <w:p>
      <w:pPr>
        <w:pStyle w:val="4"/>
        <w:numPr>
          <w:ilvl w:val="0"/>
          <w:numId w:val="4"/>
        </w:numPr>
        <w:jc w:val="center"/>
        <w:rPr>
          <w:rFonts w:ascii="仿宋" w:hAnsi="仿宋" w:eastAsia="仿宋" w:cs="仿宋"/>
          <w:b/>
          <w:bCs/>
          <w:sz w:val="36"/>
          <w:szCs w:val="30"/>
        </w:rPr>
      </w:pPr>
      <w:r>
        <w:rPr>
          <w:rFonts w:hint="eastAsia" w:ascii="仿宋" w:hAnsi="仿宋" w:eastAsia="仿宋" w:cs="仿宋"/>
          <w:b/>
          <w:bCs/>
          <w:sz w:val="36"/>
          <w:szCs w:val="30"/>
        </w:rPr>
        <w:t xml:space="preserve"> </w:t>
      </w:r>
      <w:bookmarkEnd w:id="30"/>
      <w:bookmarkEnd w:id="31"/>
      <w:bookmarkStart w:id="32" w:name="_Toc13458"/>
      <w:bookmarkStart w:id="33" w:name="_Toc3630"/>
      <w:bookmarkStart w:id="34" w:name="_Toc24659"/>
      <w:bookmarkStart w:id="35" w:name="_Toc29095"/>
      <w:bookmarkStart w:id="36" w:name="_Toc20579"/>
      <w:bookmarkStart w:id="37" w:name="_Toc11584"/>
      <w:bookmarkStart w:id="38" w:name="_Toc14681"/>
      <w:r>
        <w:rPr>
          <w:rFonts w:hint="eastAsia" w:ascii="仿宋" w:hAnsi="仿宋" w:eastAsia="仿宋" w:cs="仿宋"/>
          <w:b/>
          <w:bCs/>
          <w:sz w:val="36"/>
          <w:szCs w:val="30"/>
        </w:rPr>
        <w:t>项目服务需求</w:t>
      </w:r>
    </w:p>
    <w:bookmarkEnd w:id="32"/>
    <w:bookmarkEnd w:id="33"/>
    <w:bookmarkEnd w:id="34"/>
    <w:bookmarkEnd w:id="35"/>
    <w:bookmarkEnd w:id="36"/>
    <w:bookmarkEnd w:id="37"/>
    <w:bookmarkEnd w:id="38"/>
    <w:p>
      <w:pPr>
        <w:adjustRightInd w:val="0"/>
        <w:snapToGrid w:val="0"/>
        <w:spacing w:line="360" w:lineRule="auto"/>
        <w:jc w:val="left"/>
        <w:rPr>
          <w:rFonts w:hint="eastAsia" w:ascii="黑体" w:hAnsi="黑体" w:eastAsia="黑体" w:cs="黑体"/>
          <w:bCs/>
          <w:szCs w:val="21"/>
        </w:rPr>
      </w:pPr>
      <w:r>
        <w:rPr>
          <w:rFonts w:hint="eastAsia" w:ascii="黑体" w:hAnsi="黑体" w:eastAsia="黑体" w:cs="黑体"/>
          <w:bCs/>
          <w:szCs w:val="21"/>
          <w:lang w:val="en-US" w:eastAsia="zh-CN"/>
        </w:rPr>
        <w:t>一、</w:t>
      </w:r>
      <w:r>
        <w:rPr>
          <w:rFonts w:hint="eastAsia" w:ascii="黑体" w:hAnsi="黑体" w:eastAsia="黑体" w:cs="黑体"/>
          <w:bCs/>
          <w:szCs w:val="21"/>
        </w:rPr>
        <w:t>大赛启动</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1.对学</w:t>
      </w:r>
      <w:r>
        <w:rPr>
          <w:rFonts w:hint="eastAsia" w:ascii="仿宋" w:hAnsi="仿宋" w:eastAsia="仿宋" w:cs="仿宋"/>
          <w:bCs/>
          <w:szCs w:val="21"/>
          <w:lang w:eastAsia="zh-Hans"/>
        </w:rPr>
        <w:t>校</w:t>
      </w:r>
      <w:r>
        <w:rPr>
          <w:rFonts w:hint="eastAsia" w:ascii="仿宋" w:hAnsi="仿宋" w:eastAsia="仿宋" w:cs="仿宋"/>
          <w:bCs/>
          <w:szCs w:val="21"/>
        </w:rPr>
        <w:t>师生（50人-100人</w:t>
      </w:r>
      <w:r>
        <w:rPr>
          <w:rFonts w:hint="eastAsia" w:ascii="仿宋" w:hAnsi="仿宋" w:eastAsia="仿宋" w:cs="仿宋"/>
          <w:bCs/>
          <w:szCs w:val="21"/>
          <w:lang w:eastAsia="zh-Hans"/>
        </w:rPr>
        <w:t>）</w:t>
      </w:r>
      <w:r>
        <w:rPr>
          <w:rFonts w:hint="eastAsia" w:ascii="仿宋" w:hAnsi="仿宋" w:eastAsia="仿宋" w:cs="仿宋"/>
          <w:bCs/>
          <w:szCs w:val="21"/>
        </w:rPr>
        <w:t>开展一次大赛宣传讲座</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w:t>
      </w:r>
      <w:r>
        <w:rPr>
          <w:rFonts w:hint="eastAsia" w:ascii="仿宋" w:hAnsi="仿宋" w:eastAsia="仿宋" w:cs="仿宋"/>
          <w:bCs/>
          <w:szCs w:val="21"/>
          <w:lang w:eastAsia="zh-Hans"/>
        </w:rPr>
        <w:t>.讲座时常不低于1小时</w:t>
      </w:r>
      <w:r>
        <w:rPr>
          <w:rFonts w:hint="eastAsia" w:ascii="仿宋" w:hAnsi="仿宋" w:eastAsia="仿宋" w:cs="仿宋"/>
          <w:bCs/>
          <w:szCs w:val="21"/>
        </w:rPr>
        <w:t>,且</w:t>
      </w:r>
      <w:r>
        <w:rPr>
          <w:rFonts w:hint="eastAsia" w:ascii="仿宋" w:hAnsi="仿宋" w:eastAsia="仿宋" w:cs="仿宋"/>
          <w:bCs/>
          <w:szCs w:val="21"/>
          <w:lang w:val="en-US" w:eastAsia="zh-CN"/>
        </w:rPr>
        <w:t>至少</w:t>
      </w:r>
      <w:r>
        <w:rPr>
          <w:rFonts w:hint="eastAsia" w:ascii="仿宋" w:hAnsi="仿宋" w:eastAsia="仿宋" w:cs="仿宋"/>
          <w:bCs/>
          <w:szCs w:val="21"/>
        </w:rPr>
        <w:t>提前十天将讲座内容的PPT或文稿提供给主办方审核</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（二）讲座课程</w:t>
      </w:r>
      <w:r>
        <w:rPr>
          <w:rFonts w:hint="eastAsia" w:ascii="仿宋" w:hAnsi="仿宋" w:eastAsia="仿宋" w:cs="仿宋"/>
          <w:bCs/>
          <w:szCs w:val="21"/>
          <w:lang w:eastAsia="zh-Hans"/>
        </w:rPr>
        <w:t>内容</w:t>
      </w:r>
      <w:r>
        <w:rPr>
          <w:rFonts w:hint="eastAsia" w:ascii="仿宋" w:hAnsi="仿宋" w:eastAsia="仿宋" w:cs="仿宋"/>
          <w:bCs/>
          <w:szCs w:val="21"/>
        </w:rPr>
        <w:t>包含：</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1.创业意识激发</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2.创业的动力原理</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3.创业意识的引导</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4.创新创业大赛深度解析</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5.创业团队组建最佳组合</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6.创业大赛举办目的</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7.创业计划大赛的赛事类别</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8.创业计划大赛的参赛筹备</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（三）师资配置：</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赛事指导师资，师资具备国家级创新创业大赛指导经验，师资需具备国家级创业培资质</w:t>
      </w:r>
      <w:r>
        <w:rPr>
          <w:rFonts w:hint="eastAsia" w:ascii="仿宋" w:hAnsi="仿宋" w:eastAsia="仿宋" w:cs="仿宋"/>
          <w:bCs/>
          <w:szCs w:val="21"/>
          <w:lang w:eastAsia="zh-CN"/>
        </w:rPr>
        <w:t>。</w:t>
      </w:r>
    </w:p>
    <w:p>
      <w:pPr>
        <w:adjustRightInd w:val="0"/>
        <w:snapToGrid w:val="0"/>
        <w:spacing w:line="360" w:lineRule="auto"/>
        <w:jc w:val="left"/>
        <w:rPr>
          <w:rFonts w:hint="eastAsia" w:ascii="黑体" w:hAnsi="黑体" w:eastAsia="黑体" w:cs="黑体"/>
          <w:bCs/>
          <w:szCs w:val="21"/>
        </w:rPr>
      </w:pPr>
      <w:r>
        <w:rPr>
          <w:rFonts w:hint="eastAsia" w:ascii="黑体" w:hAnsi="黑体" w:eastAsia="黑体" w:cs="黑体"/>
          <w:bCs/>
          <w:szCs w:val="21"/>
        </w:rPr>
        <w:t>二、项目挖掘考察</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1.对学校二级学院重点培育项目深入项目实地考察</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2.考察方向：项目进行的阶段和拟打造方向</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（二）项目考察内容包含：</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1.项目所处行业的前景</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2.项目核心优势</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3.项目技术难点</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4.项目成果转化阶段</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5.项目运用场景</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6.项目特色和学院专业匹配度</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（三）目标：</w:t>
      </w:r>
    </w:p>
    <w:p>
      <w:pPr>
        <w:adjustRightInd w:val="0"/>
        <w:snapToGrid w:val="0"/>
        <w:spacing w:line="360" w:lineRule="auto"/>
        <w:jc w:val="left"/>
        <w:rPr>
          <w:rFonts w:hint="eastAsia" w:eastAsia="仿宋"/>
          <w:lang w:eastAsia="zh-CN"/>
        </w:rPr>
      </w:pPr>
      <w:r>
        <w:rPr>
          <w:rFonts w:hint="eastAsia" w:ascii="仿宋" w:hAnsi="仿宋" w:eastAsia="仿宋" w:cs="仿宋"/>
          <w:bCs/>
          <w:szCs w:val="21"/>
        </w:rPr>
        <w:t>通过现场考察，结合项目现有基础、行业特点、规划项目赛道、设计项目打造方向</w:t>
      </w:r>
      <w:r>
        <w:rPr>
          <w:rFonts w:hint="eastAsia" w:ascii="仿宋" w:hAnsi="仿宋" w:eastAsia="仿宋" w:cs="仿宋"/>
          <w:bCs/>
          <w:szCs w:val="21"/>
          <w:lang w:eastAsia="zh-CN"/>
        </w:rPr>
        <w:t>。</w:t>
      </w:r>
    </w:p>
    <w:p>
      <w:pPr>
        <w:adjustRightInd w:val="0"/>
        <w:snapToGrid w:val="0"/>
        <w:spacing w:line="360" w:lineRule="auto"/>
        <w:jc w:val="left"/>
        <w:rPr>
          <w:rFonts w:hint="eastAsia" w:ascii="黑体" w:hAnsi="黑体" w:eastAsia="黑体" w:cs="黑体"/>
          <w:bCs/>
          <w:szCs w:val="21"/>
        </w:rPr>
      </w:pPr>
      <w:r>
        <w:rPr>
          <w:rFonts w:hint="eastAsia" w:ascii="黑体" w:hAnsi="黑体" w:eastAsia="黑体" w:cs="黑体"/>
          <w:bCs/>
          <w:szCs w:val="21"/>
        </w:rPr>
        <w:t>三、种子项目培育</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1.对挖掘出的种子项目进行逐一论证</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2.培育指导形式:种子项目进行一对一指导</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（二）指导内容：</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1.项目逻辑梳理，框架搭建</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2.项目内容梳理，重点内容填充</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3.支撑材料补充，得分要点补充</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（三）师资配置：</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培训师资队伍：组建由“行业指导师资+孵化指导师资”构成的培训师资队伍，提供项目培训指导工作。</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 行业指导师资1名</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师资具有丰富的创新服务经验，曾服务世界 500 强或国内知名企业</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 孵化指导师资2名</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师资需具备国家级创业培资质。</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（四）目标：</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系统性培育4-5个具有潜力的优质项目</w:t>
      </w:r>
      <w:r>
        <w:rPr>
          <w:rFonts w:hint="eastAsia" w:ascii="仿宋" w:hAnsi="仿宋" w:eastAsia="仿宋" w:cs="仿宋"/>
          <w:bCs/>
          <w:szCs w:val="21"/>
          <w:lang w:eastAsia="zh-CN"/>
        </w:rPr>
        <w:t>。</w:t>
      </w:r>
    </w:p>
    <w:p>
      <w:pPr>
        <w:adjustRightInd w:val="0"/>
        <w:snapToGrid w:val="0"/>
        <w:spacing w:line="360" w:lineRule="auto"/>
        <w:jc w:val="left"/>
        <w:rPr>
          <w:rFonts w:hint="eastAsia" w:ascii="黑体" w:hAnsi="黑体" w:eastAsia="黑体" w:cs="黑体"/>
          <w:bCs/>
          <w:szCs w:val="21"/>
        </w:rPr>
      </w:pPr>
      <w:r>
        <w:rPr>
          <w:rFonts w:hint="eastAsia" w:ascii="黑体" w:hAnsi="黑体" w:eastAsia="黑体" w:cs="黑体"/>
          <w:bCs/>
          <w:szCs w:val="21"/>
        </w:rPr>
        <w:t>四、举行校赛选拔</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1.开展一轮校赛，</w:t>
      </w:r>
      <w:r>
        <w:rPr>
          <w:rFonts w:hint="eastAsia" w:ascii="仿宋" w:hAnsi="仿宋" w:eastAsia="仿宋" w:cs="仿宋"/>
          <w:bCs/>
          <w:szCs w:val="21"/>
          <w:lang w:eastAsia="zh-Hans"/>
        </w:rPr>
        <w:t>针对</w:t>
      </w:r>
      <w:r>
        <w:rPr>
          <w:rFonts w:hint="eastAsia" w:ascii="仿宋" w:hAnsi="仿宋" w:eastAsia="仿宋" w:cs="仿宋"/>
          <w:bCs/>
          <w:szCs w:val="21"/>
        </w:rPr>
        <w:t>参赛项目进行指导、鉴别和甄选，选出有潜力的优质项目、重点项目，制定定向指导方案。</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w:t>
      </w:r>
      <w:r>
        <w:rPr>
          <w:rFonts w:hint="eastAsia" w:ascii="仿宋" w:hAnsi="仿宋" w:eastAsia="仿宋" w:cs="仿宋"/>
          <w:bCs/>
          <w:szCs w:val="21"/>
          <w:lang w:eastAsia="zh-Hans"/>
        </w:rPr>
        <w:t>.</w:t>
      </w:r>
      <w:r>
        <w:rPr>
          <w:rFonts w:hint="eastAsia" w:ascii="仿宋" w:hAnsi="仿宋" w:eastAsia="仿宋" w:cs="仿宋"/>
          <w:bCs/>
          <w:szCs w:val="21"/>
        </w:rPr>
        <w:t>师资要求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（1）.行业指导师资具有丰富的创新服务经验，曾服务世界 500 强或国内知名企业</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（2）.孵化指导师资需具备国家级创业培资质</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（二）选拔内容：</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1.创业项目分析</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2.创业项目诊断</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3.创业项目优化</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（三）目标：</w:t>
      </w:r>
    </w:p>
    <w:p>
      <w:pPr>
        <w:adjustRightInd w:val="0"/>
        <w:snapToGrid w:val="0"/>
        <w:spacing w:line="360" w:lineRule="auto"/>
        <w:jc w:val="left"/>
        <w:rPr>
          <w:rFonts w:hint="eastAsia" w:ascii="黑体" w:hAnsi="黑体" w:eastAsia="仿宋" w:cs="黑体"/>
          <w:bCs/>
          <w:szCs w:val="21"/>
          <w:lang w:eastAsia="zh-CN"/>
        </w:rPr>
      </w:pPr>
      <w:r>
        <w:rPr>
          <w:rFonts w:hint="eastAsia" w:ascii="仿宋" w:hAnsi="仿宋" w:eastAsia="仿宋" w:cs="仿宋"/>
          <w:bCs/>
          <w:szCs w:val="21"/>
        </w:rPr>
        <w:t>选出8-10个</w:t>
      </w:r>
      <w:r>
        <w:rPr>
          <w:rFonts w:hint="eastAsia" w:ascii="仿宋" w:hAnsi="仿宋" w:eastAsia="仿宋" w:cs="仿宋"/>
          <w:bCs/>
          <w:szCs w:val="21"/>
          <w:lang w:eastAsia="zh-Hans"/>
        </w:rPr>
        <w:t>具</w:t>
      </w:r>
      <w:r>
        <w:rPr>
          <w:rFonts w:hint="eastAsia" w:ascii="仿宋" w:hAnsi="仿宋" w:eastAsia="仿宋" w:cs="仿宋"/>
          <w:bCs/>
          <w:szCs w:val="21"/>
        </w:rPr>
        <w:t>有潜力的优质项目，选拔出4-5个优秀参赛项目市级项目重点指导</w:t>
      </w:r>
      <w:r>
        <w:rPr>
          <w:rFonts w:hint="eastAsia" w:ascii="仿宋" w:hAnsi="仿宋" w:eastAsia="仿宋" w:cs="仿宋"/>
          <w:bCs/>
          <w:szCs w:val="21"/>
          <w:lang w:eastAsia="zh-CN"/>
        </w:rPr>
        <w:t>。</w:t>
      </w:r>
    </w:p>
    <w:p>
      <w:pPr>
        <w:adjustRightInd w:val="0"/>
        <w:snapToGrid w:val="0"/>
        <w:spacing w:line="360" w:lineRule="auto"/>
        <w:jc w:val="left"/>
        <w:rPr>
          <w:rFonts w:hint="eastAsia" w:ascii="黑体" w:hAnsi="黑体" w:eastAsia="黑体" w:cs="黑体"/>
          <w:bCs/>
          <w:szCs w:val="21"/>
        </w:rPr>
      </w:pPr>
      <w:r>
        <w:rPr>
          <w:rFonts w:hint="eastAsia" w:ascii="黑体" w:hAnsi="黑体" w:eastAsia="黑体" w:cs="黑体"/>
          <w:bCs/>
          <w:szCs w:val="21"/>
        </w:rPr>
        <w:t>五、市赛冲刺</w:t>
      </w:r>
    </w:p>
    <w:p>
      <w:pPr>
        <w:adjustRightInd w:val="0"/>
        <w:snapToGrid w:val="0"/>
        <w:spacing w:line="360" w:lineRule="auto"/>
        <w:jc w:val="left"/>
        <w:rPr>
          <w:rFonts w:hint="eastAsia"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w:t>
      </w:r>
      <w:r>
        <w:rPr>
          <w:rFonts w:hint="eastAsia" w:ascii="仿宋" w:hAnsi="仿宋" w:eastAsia="仿宋" w:cs="仿宋"/>
          <w:bCs/>
          <w:szCs w:val="21"/>
          <w:lang w:eastAsia="zh-Hans"/>
        </w:rPr>
        <w:t>.</w:t>
      </w:r>
      <w:r>
        <w:rPr>
          <w:rFonts w:hint="eastAsia" w:ascii="仿宋" w:hAnsi="仿宋" w:eastAsia="仿宋" w:cs="仿宋"/>
          <w:bCs/>
          <w:szCs w:val="21"/>
        </w:rPr>
        <w:t>针对入围市赛的项目开展一对一冲刺培训</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w:t>
      </w:r>
      <w:r>
        <w:rPr>
          <w:rFonts w:hint="eastAsia" w:ascii="仿宋" w:hAnsi="仿宋" w:eastAsia="仿宋" w:cs="仿宋"/>
          <w:bCs/>
          <w:szCs w:val="21"/>
          <w:lang w:eastAsia="zh-Hans"/>
        </w:rPr>
        <w:t>.</w:t>
      </w:r>
      <w:r>
        <w:rPr>
          <w:rFonts w:hint="eastAsia" w:ascii="仿宋" w:hAnsi="仿宋" w:eastAsia="仿宋" w:cs="仿宋"/>
          <w:bCs/>
          <w:szCs w:val="21"/>
        </w:rPr>
        <w:t>协助项目对接合作资源、投融资对接、市场推广、商业计划书撰写</w:t>
      </w:r>
      <w:r>
        <w:rPr>
          <w:rFonts w:hint="eastAsia" w:ascii="仿宋" w:hAnsi="仿宋" w:eastAsia="仿宋" w:cs="仿宋"/>
          <w:bCs/>
          <w:szCs w:val="21"/>
          <w:lang w:eastAsia="zh-Hans"/>
        </w:rPr>
        <w:t>指导</w:t>
      </w:r>
      <w:r>
        <w:rPr>
          <w:rFonts w:hint="eastAsia" w:ascii="仿宋" w:hAnsi="仿宋" w:eastAsia="仿宋" w:cs="仿宋"/>
          <w:bCs/>
          <w:szCs w:val="21"/>
        </w:rPr>
        <w:t>、ppt制作</w:t>
      </w:r>
      <w:r>
        <w:rPr>
          <w:rFonts w:hint="eastAsia" w:ascii="仿宋" w:hAnsi="仿宋" w:eastAsia="仿宋" w:cs="仿宋"/>
          <w:bCs/>
          <w:szCs w:val="21"/>
          <w:lang w:eastAsia="zh-Hans"/>
        </w:rPr>
        <w:t>指导</w:t>
      </w:r>
      <w:r>
        <w:rPr>
          <w:rFonts w:hint="eastAsia" w:ascii="仿宋" w:hAnsi="仿宋" w:eastAsia="仿宋" w:cs="仿宋"/>
          <w:bCs/>
          <w:szCs w:val="21"/>
        </w:rPr>
        <w:t>、路演视频拍摄</w:t>
      </w:r>
      <w:r>
        <w:rPr>
          <w:rFonts w:hint="eastAsia" w:ascii="仿宋" w:hAnsi="仿宋" w:eastAsia="仿宋" w:cs="仿宋"/>
          <w:bCs/>
          <w:szCs w:val="21"/>
          <w:lang w:eastAsia="zh-Hans"/>
        </w:rPr>
        <w:t>指导</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3.网评材料指导</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4.路演答辩训练,模拟路演答辩</w:t>
      </w:r>
      <w:r>
        <w:rPr>
          <w:rFonts w:hint="eastAsia" w:ascii="仿宋" w:hAnsi="仿宋" w:eastAsia="仿宋" w:cs="仿宋"/>
          <w:bCs/>
          <w:szCs w:val="21"/>
          <w:lang w:eastAsia="zh-CN"/>
        </w:rPr>
        <w:t>。</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（二）师资要求：</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1.赛事指导师资</w:t>
      </w:r>
      <w:r>
        <w:rPr>
          <w:rFonts w:ascii="仿宋" w:hAnsi="仿宋" w:eastAsia="仿宋" w:cs="仿宋"/>
          <w:bCs/>
          <w:szCs w:val="21"/>
        </w:rPr>
        <w:t>，</w:t>
      </w:r>
      <w:r>
        <w:rPr>
          <w:rFonts w:hint="eastAsia" w:ascii="仿宋" w:hAnsi="仿宋" w:eastAsia="仿宋" w:cs="仿宋"/>
          <w:bCs/>
          <w:szCs w:val="21"/>
        </w:rPr>
        <w:t>师资具备国家级创新创业大赛指导经验，师资需具备国家级创业培资质，所指导项目曾获</w:t>
      </w:r>
      <w:r>
        <w:rPr>
          <w:rFonts w:hint="eastAsia" w:ascii="仿宋" w:hAnsi="仿宋" w:eastAsia="仿宋" w:cs="仿宋"/>
          <w:bCs/>
          <w:szCs w:val="21"/>
          <w:lang w:eastAsia="zh-Hans"/>
        </w:rPr>
        <w:t>国家级奖项</w:t>
      </w:r>
      <w:r>
        <w:rPr>
          <w:rFonts w:hint="eastAsia" w:ascii="仿宋" w:hAnsi="仿宋" w:eastAsia="仿宋" w:cs="仿宋"/>
          <w:bCs/>
          <w:szCs w:val="21"/>
        </w:rPr>
        <w:t>及以上成绩。</w:t>
      </w:r>
    </w:p>
    <w:p>
      <w:pPr>
        <w:adjustRightInd w:val="0"/>
        <w:snapToGrid w:val="0"/>
        <w:spacing w:line="360" w:lineRule="auto"/>
        <w:jc w:val="left"/>
        <w:rPr>
          <w:rFonts w:ascii="仿宋" w:hAnsi="仿宋" w:eastAsia="仿宋" w:cs="仿宋"/>
          <w:bCs/>
          <w:szCs w:val="21"/>
          <w:lang w:eastAsia="zh-Hans"/>
        </w:rPr>
      </w:pPr>
      <w:r>
        <w:rPr>
          <w:rFonts w:hint="eastAsia" w:ascii="仿宋" w:hAnsi="仿宋" w:eastAsia="仿宋" w:cs="仿宋"/>
          <w:bCs/>
          <w:szCs w:val="21"/>
        </w:rPr>
        <w:t>2.路演答辩指导师资</w:t>
      </w:r>
      <w:r>
        <w:rPr>
          <w:rFonts w:ascii="仿宋" w:hAnsi="仿宋" w:eastAsia="仿宋" w:cs="仿宋"/>
          <w:bCs/>
          <w:szCs w:val="21"/>
        </w:rPr>
        <w:t>，</w:t>
      </w:r>
      <w:r>
        <w:rPr>
          <w:rFonts w:hint="eastAsia" w:ascii="仿宋" w:hAnsi="仿宋" w:eastAsia="仿宋" w:cs="仿宋"/>
          <w:bCs/>
          <w:szCs w:val="21"/>
        </w:rPr>
        <w:t>师资具备国家普通话一级乙等水平等级证书，</w:t>
      </w:r>
      <w:r>
        <w:rPr>
          <w:rFonts w:hint="eastAsia" w:ascii="仿宋" w:hAnsi="仿宋" w:eastAsia="仿宋" w:cs="仿宋"/>
          <w:bCs/>
          <w:szCs w:val="21"/>
          <w:lang w:eastAsia="zh-Hans"/>
        </w:rPr>
        <w:t>多次指导大赛路演经验</w:t>
      </w:r>
      <w:r>
        <w:rPr>
          <w:rFonts w:ascii="仿宋" w:hAnsi="仿宋" w:eastAsia="仿宋" w:cs="仿宋"/>
          <w:bCs/>
          <w:szCs w:val="21"/>
          <w:lang w:eastAsia="zh-Hans"/>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3.指导师资需为教育部首批全国万名优秀创新创业导师，</w:t>
      </w:r>
      <w:r>
        <w:rPr>
          <w:rFonts w:ascii="仿宋" w:hAnsi="仿宋" w:eastAsia="仿宋" w:cs="仿宋"/>
          <w:bCs/>
          <w:szCs w:val="21"/>
          <w:lang w:eastAsia="zh-Hans"/>
        </w:rPr>
        <w:t>提供相关证明材料</w:t>
      </w:r>
      <w:r>
        <w:rPr>
          <w:rFonts w:hint="eastAsia" w:ascii="仿宋" w:hAnsi="仿宋" w:eastAsia="仿宋" w:cs="仿宋"/>
          <w:bCs/>
          <w:szCs w:val="21"/>
          <w:lang w:eastAsia="zh-CN"/>
        </w:rPr>
        <w:t>。</w:t>
      </w:r>
    </w:p>
    <w:p>
      <w:pPr>
        <w:rPr>
          <w:rFonts w:hint="eastAsia" w:eastAsia="仿宋"/>
          <w:lang w:eastAsia="zh-CN"/>
        </w:rPr>
      </w:pPr>
      <w:r>
        <w:rPr>
          <w:rFonts w:hint="eastAsia" w:ascii="仿宋" w:hAnsi="仿宋" w:eastAsia="仿宋" w:cs="仿宋"/>
          <w:bCs/>
          <w:szCs w:val="21"/>
        </w:rPr>
        <w:t>4.指导师资需为教育部全国高校就业创业指导教师，培训特聘专家，</w:t>
      </w:r>
      <w:r>
        <w:rPr>
          <w:rFonts w:ascii="仿宋" w:hAnsi="仿宋" w:eastAsia="仿宋" w:cs="仿宋"/>
          <w:bCs/>
          <w:szCs w:val="21"/>
          <w:lang w:eastAsia="zh-Hans"/>
        </w:rPr>
        <w:t>提供相关证明材料</w:t>
      </w:r>
      <w:r>
        <w:rPr>
          <w:rFonts w:hint="eastAsia" w:ascii="仿宋" w:hAnsi="仿宋" w:eastAsia="仿宋" w:cs="仿宋"/>
          <w:bCs/>
          <w:szCs w:val="21"/>
          <w:lang w:eastAsia="zh-CN"/>
        </w:rPr>
        <w:t>。</w:t>
      </w:r>
    </w:p>
    <w:p>
      <w:pPr>
        <w:adjustRightInd w:val="0"/>
        <w:snapToGrid w:val="0"/>
        <w:spacing w:line="360" w:lineRule="auto"/>
        <w:jc w:val="left"/>
        <w:rPr>
          <w:rFonts w:hint="eastAsia" w:ascii="黑体" w:hAnsi="黑体" w:eastAsia="黑体" w:cs="黑体"/>
          <w:bCs/>
          <w:szCs w:val="21"/>
          <w:lang w:eastAsia="zh-CN"/>
        </w:rPr>
      </w:pPr>
      <w:r>
        <w:rPr>
          <w:rFonts w:hint="eastAsia" w:ascii="黑体" w:hAnsi="黑体" w:eastAsia="黑体" w:cs="黑体"/>
          <w:bCs/>
          <w:szCs w:val="21"/>
        </w:rPr>
        <w:t>六、国赛冲刺</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（一）要求：</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1</w:t>
      </w:r>
      <w:r>
        <w:rPr>
          <w:rFonts w:hint="eastAsia" w:ascii="仿宋" w:hAnsi="仿宋" w:eastAsia="仿宋" w:cs="仿宋"/>
          <w:bCs/>
          <w:szCs w:val="21"/>
          <w:lang w:eastAsia="zh-Hans"/>
        </w:rPr>
        <w:t>.</w:t>
      </w:r>
      <w:r>
        <w:rPr>
          <w:rFonts w:hint="eastAsia" w:ascii="仿宋" w:hAnsi="仿宋" w:eastAsia="仿宋" w:cs="仿宋"/>
          <w:bCs/>
          <w:szCs w:val="21"/>
        </w:rPr>
        <w:t>针对入围全国总决赛的项目开展一对一冲刺培训</w:t>
      </w:r>
      <w:r>
        <w:rPr>
          <w:rFonts w:hint="eastAsia" w:ascii="仿宋" w:hAnsi="仿宋" w:eastAsia="仿宋" w:cs="仿宋"/>
          <w:bCs/>
          <w:szCs w:val="21"/>
          <w:lang w:eastAsia="zh-CN"/>
        </w:rPr>
        <w:t>。</w:t>
      </w:r>
    </w:p>
    <w:p>
      <w:pPr>
        <w:adjustRightInd w:val="0"/>
        <w:snapToGrid w:val="0"/>
        <w:spacing w:line="360" w:lineRule="auto"/>
        <w:jc w:val="left"/>
        <w:rPr>
          <w:rFonts w:hint="eastAsia" w:ascii="仿宋" w:hAnsi="仿宋" w:eastAsia="仿宋" w:cs="仿宋"/>
          <w:bCs/>
          <w:szCs w:val="21"/>
          <w:lang w:eastAsia="zh-CN"/>
        </w:rPr>
      </w:pPr>
      <w:r>
        <w:rPr>
          <w:rFonts w:hint="eastAsia" w:ascii="仿宋" w:hAnsi="仿宋" w:eastAsia="仿宋" w:cs="仿宋"/>
          <w:bCs/>
          <w:szCs w:val="21"/>
        </w:rPr>
        <w:t>2</w:t>
      </w:r>
      <w:r>
        <w:rPr>
          <w:rFonts w:hint="eastAsia" w:ascii="仿宋" w:hAnsi="仿宋" w:eastAsia="仿宋" w:cs="仿宋"/>
          <w:bCs/>
          <w:szCs w:val="21"/>
          <w:lang w:eastAsia="zh-Hans"/>
        </w:rPr>
        <w:t>.</w:t>
      </w:r>
      <w:r>
        <w:rPr>
          <w:rFonts w:hint="eastAsia" w:ascii="仿宋" w:hAnsi="仿宋" w:eastAsia="仿宋" w:cs="仿宋"/>
          <w:bCs/>
          <w:szCs w:val="21"/>
        </w:rPr>
        <w:t>协助项目对接合作资源、投融资对接、市场推广、商业计划书撰写</w:t>
      </w:r>
      <w:r>
        <w:rPr>
          <w:rFonts w:hint="eastAsia" w:ascii="仿宋" w:hAnsi="仿宋" w:eastAsia="仿宋" w:cs="仿宋"/>
          <w:bCs/>
          <w:szCs w:val="21"/>
          <w:lang w:eastAsia="zh-Hans"/>
        </w:rPr>
        <w:t>指导</w:t>
      </w:r>
      <w:r>
        <w:rPr>
          <w:rFonts w:hint="eastAsia" w:ascii="仿宋" w:hAnsi="仿宋" w:eastAsia="仿宋" w:cs="仿宋"/>
          <w:bCs/>
          <w:szCs w:val="21"/>
        </w:rPr>
        <w:t>、ppt制作</w:t>
      </w:r>
      <w:r>
        <w:rPr>
          <w:rFonts w:hint="eastAsia" w:ascii="仿宋" w:hAnsi="仿宋" w:eastAsia="仿宋" w:cs="仿宋"/>
          <w:bCs/>
          <w:szCs w:val="21"/>
          <w:lang w:eastAsia="zh-Hans"/>
        </w:rPr>
        <w:t>指导</w:t>
      </w:r>
      <w:r>
        <w:rPr>
          <w:rFonts w:hint="eastAsia" w:ascii="仿宋" w:hAnsi="仿宋" w:eastAsia="仿宋" w:cs="仿宋"/>
          <w:bCs/>
          <w:szCs w:val="21"/>
        </w:rPr>
        <w:t>、路演视频拍摄</w:t>
      </w:r>
      <w:r>
        <w:rPr>
          <w:rFonts w:hint="eastAsia" w:ascii="仿宋" w:hAnsi="仿宋" w:eastAsia="仿宋" w:cs="仿宋"/>
          <w:bCs/>
          <w:szCs w:val="21"/>
          <w:lang w:eastAsia="zh-Hans"/>
        </w:rPr>
        <w:t>指导</w:t>
      </w:r>
      <w:r>
        <w:rPr>
          <w:rFonts w:hint="eastAsia" w:ascii="仿宋" w:hAnsi="仿宋" w:eastAsia="仿宋" w:cs="仿宋"/>
          <w:bCs/>
          <w:szCs w:val="21"/>
        </w:rPr>
        <w:t>、路演答辩训练等</w:t>
      </w:r>
      <w:r>
        <w:rPr>
          <w:rFonts w:hint="eastAsia" w:ascii="仿宋" w:hAnsi="仿宋" w:eastAsia="仿宋" w:cs="仿宋"/>
          <w:bCs/>
          <w:szCs w:val="21"/>
          <w:lang w:eastAsia="zh-CN"/>
        </w:rPr>
        <w:t>。</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3.网评材料指导</w:t>
      </w:r>
    </w:p>
    <w:p>
      <w:pPr>
        <w:adjustRightInd w:val="0"/>
        <w:snapToGrid w:val="0"/>
        <w:spacing w:line="360" w:lineRule="auto"/>
        <w:jc w:val="left"/>
      </w:pPr>
      <w:r>
        <w:rPr>
          <w:rFonts w:hint="eastAsia" w:ascii="仿宋" w:hAnsi="仿宋" w:eastAsia="仿宋" w:cs="仿宋"/>
          <w:bCs/>
          <w:szCs w:val="21"/>
        </w:rPr>
        <w:t>4.路演答辩训练,模拟路演答辩</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（二）师资要求：</w:t>
      </w:r>
    </w:p>
    <w:p>
      <w:pPr>
        <w:adjustRightInd w:val="0"/>
        <w:snapToGrid w:val="0"/>
        <w:spacing w:line="360" w:lineRule="auto"/>
        <w:jc w:val="left"/>
        <w:rPr>
          <w:rFonts w:ascii="仿宋" w:hAnsi="仿宋" w:eastAsia="仿宋" w:cs="仿宋"/>
          <w:bCs/>
          <w:szCs w:val="21"/>
        </w:rPr>
      </w:pPr>
      <w:r>
        <w:rPr>
          <w:rFonts w:hint="eastAsia" w:ascii="仿宋" w:hAnsi="仿宋" w:eastAsia="仿宋" w:cs="仿宋"/>
          <w:bCs/>
          <w:szCs w:val="21"/>
        </w:rPr>
        <w:t>1.赛事指导师资</w:t>
      </w:r>
      <w:r>
        <w:rPr>
          <w:rFonts w:ascii="仿宋" w:hAnsi="仿宋" w:eastAsia="仿宋" w:cs="仿宋"/>
          <w:bCs/>
          <w:szCs w:val="21"/>
        </w:rPr>
        <w:t>，</w:t>
      </w:r>
      <w:r>
        <w:rPr>
          <w:rFonts w:hint="eastAsia" w:ascii="仿宋" w:hAnsi="仿宋" w:eastAsia="仿宋" w:cs="仿宋"/>
          <w:bCs/>
          <w:szCs w:val="21"/>
        </w:rPr>
        <w:t>师资具备国家级创新创业大赛指导经验，师资需具备国家级创业培资质，所指导项目曾获</w:t>
      </w:r>
      <w:r>
        <w:rPr>
          <w:rFonts w:hint="eastAsia" w:ascii="仿宋" w:hAnsi="仿宋" w:eastAsia="仿宋" w:cs="仿宋"/>
          <w:bCs/>
          <w:szCs w:val="21"/>
          <w:lang w:eastAsia="zh-Hans"/>
        </w:rPr>
        <w:t>国家级金奖</w:t>
      </w:r>
      <w:r>
        <w:rPr>
          <w:rFonts w:hint="eastAsia" w:ascii="仿宋" w:hAnsi="仿宋" w:eastAsia="仿宋" w:cs="仿宋"/>
          <w:bCs/>
          <w:szCs w:val="21"/>
        </w:rPr>
        <w:t>成绩。</w:t>
      </w:r>
    </w:p>
    <w:p>
      <w:pPr>
        <w:adjustRightInd w:val="0"/>
        <w:snapToGrid w:val="0"/>
        <w:spacing w:line="360" w:lineRule="auto"/>
        <w:jc w:val="left"/>
        <w:rPr>
          <w:rFonts w:ascii="仿宋" w:hAnsi="仿宋" w:eastAsia="仿宋" w:cs="仿宋"/>
          <w:bCs/>
          <w:szCs w:val="21"/>
          <w:lang w:eastAsia="zh-Hans"/>
        </w:rPr>
      </w:pPr>
      <w:r>
        <w:rPr>
          <w:rFonts w:hint="eastAsia" w:ascii="仿宋" w:hAnsi="仿宋" w:eastAsia="仿宋" w:cs="仿宋"/>
          <w:bCs/>
          <w:szCs w:val="21"/>
        </w:rPr>
        <w:t>2.路演答辩指导师资</w:t>
      </w:r>
      <w:r>
        <w:rPr>
          <w:rFonts w:ascii="仿宋" w:hAnsi="仿宋" w:eastAsia="仿宋" w:cs="仿宋"/>
          <w:bCs/>
          <w:szCs w:val="21"/>
        </w:rPr>
        <w:t>，</w:t>
      </w:r>
      <w:r>
        <w:rPr>
          <w:rFonts w:hint="eastAsia" w:ascii="仿宋" w:hAnsi="仿宋" w:eastAsia="仿宋" w:cs="仿宋"/>
          <w:bCs/>
          <w:szCs w:val="21"/>
        </w:rPr>
        <w:t>师资具备国家普通话一级乙等水平等级证书，获得全国演讲比赛奖项</w:t>
      </w:r>
      <w:r>
        <w:rPr>
          <w:rFonts w:ascii="仿宋" w:hAnsi="仿宋" w:eastAsia="仿宋" w:cs="仿宋"/>
          <w:bCs/>
          <w:szCs w:val="21"/>
        </w:rPr>
        <w:t>，</w:t>
      </w:r>
      <w:r>
        <w:rPr>
          <w:rFonts w:hint="eastAsia" w:ascii="仿宋" w:hAnsi="仿宋" w:eastAsia="仿宋" w:cs="仿宋"/>
          <w:bCs/>
          <w:szCs w:val="21"/>
          <w:lang w:eastAsia="zh-Hans"/>
        </w:rPr>
        <w:t>指导项目团队参加国赛现场路演</w:t>
      </w:r>
      <w:r>
        <w:rPr>
          <w:rFonts w:ascii="仿宋" w:hAnsi="仿宋" w:eastAsia="仿宋" w:cs="仿宋"/>
          <w:bCs/>
          <w:szCs w:val="21"/>
          <w:lang w:eastAsia="zh-Hans"/>
        </w:rPr>
        <w:t>、</w:t>
      </w:r>
      <w:r>
        <w:rPr>
          <w:rFonts w:hint="eastAsia" w:ascii="仿宋" w:hAnsi="仿宋" w:eastAsia="仿宋" w:cs="仿宋"/>
          <w:bCs/>
          <w:szCs w:val="21"/>
          <w:lang w:eastAsia="zh-Hans"/>
        </w:rPr>
        <w:t>答辩环节</w:t>
      </w:r>
      <w:r>
        <w:rPr>
          <w:rFonts w:ascii="仿宋" w:hAnsi="仿宋" w:eastAsia="仿宋" w:cs="仿宋"/>
          <w:bCs/>
          <w:szCs w:val="21"/>
          <w:lang w:eastAsia="zh-Hans"/>
        </w:rPr>
        <w:t>，</w:t>
      </w:r>
      <w:r>
        <w:rPr>
          <w:rFonts w:hint="eastAsia" w:ascii="仿宋" w:hAnsi="仿宋" w:eastAsia="仿宋" w:cs="仿宋"/>
          <w:bCs/>
          <w:szCs w:val="21"/>
          <w:lang w:eastAsia="zh-Hans"/>
        </w:rPr>
        <w:t>指导项目团队参加金奖争夺赛</w:t>
      </w:r>
      <w:r>
        <w:rPr>
          <w:rFonts w:ascii="仿宋" w:hAnsi="仿宋" w:eastAsia="仿宋" w:cs="仿宋"/>
          <w:bCs/>
          <w:szCs w:val="21"/>
          <w:lang w:eastAsia="zh-Hans"/>
        </w:rPr>
        <w:t>，</w:t>
      </w:r>
      <w:r>
        <w:rPr>
          <w:rFonts w:hint="eastAsia" w:ascii="仿宋" w:hAnsi="仿宋" w:eastAsia="仿宋" w:cs="仿宋"/>
          <w:bCs/>
          <w:szCs w:val="21"/>
          <w:lang w:eastAsia="zh-Hans"/>
        </w:rPr>
        <w:t>并获得金奖成绩</w:t>
      </w:r>
      <w:r>
        <w:rPr>
          <w:rFonts w:ascii="仿宋" w:hAnsi="仿宋" w:eastAsia="仿宋" w:cs="仿宋"/>
          <w:bCs/>
          <w:szCs w:val="21"/>
          <w:lang w:eastAsia="zh-Hans"/>
        </w:rPr>
        <w:t>。</w:t>
      </w:r>
    </w:p>
    <w:p>
      <w:pPr>
        <w:adjustRightInd w:val="0"/>
        <w:snapToGrid w:val="0"/>
        <w:spacing w:line="360" w:lineRule="auto"/>
        <w:jc w:val="left"/>
        <w:rPr>
          <w:rFonts w:ascii="仿宋" w:hAnsi="仿宋" w:eastAsia="仿宋" w:cs="仿宋"/>
          <w:bCs/>
          <w:szCs w:val="21"/>
          <w:lang w:eastAsia="zh-Hans"/>
        </w:rPr>
      </w:pPr>
      <w:r>
        <w:rPr>
          <w:rFonts w:hint="eastAsia" w:ascii="仿宋" w:hAnsi="仿宋" w:eastAsia="仿宋" w:cs="仿宋"/>
          <w:bCs/>
          <w:szCs w:val="21"/>
        </w:rPr>
        <w:t>3</w:t>
      </w:r>
      <w:r>
        <w:rPr>
          <w:rFonts w:hint="eastAsia" w:ascii="仿宋" w:hAnsi="仿宋" w:eastAsia="仿宋" w:cs="仿宋"/>
          <w:bCs/>
          <w:szCs w:val="21"/>
          <w:lang w:eastAsia="zh-Hans"/>
        </w:rPr>
        <w:t>.</w:t>
      </w:r>
      <w:r>
        <w:rPr>
          <w:rFonts w:ascii="仿宋" w:hAnsi="仿宋" w:eastAsia="仿宋" w:cs="仿宋"/>
          <w:bCs/>
          <w:szCs w:val="21"/>
          <w:lang w:eastAsia="zh-Hans"/>
        </w:rPr>
        <w:t>专家顾问≥</w:t>
      </w:r>
      <w:r>
        <w:rPr>
          <w:rFonts w:hint="eastAsia" w:ascii="仿宋" w:hAnsi="仿宋" w:eastAsia="仿宋" w:cs="仿宋"/>
          <w:bCs/>
          <w:szCs w:val="21"/>
        </w:rPr>
        <w:t>5</w:t>
      </w:r>
      <w:r>
        <w:rPr>
          <w:rFonts w:ascii="仿宋" w:hAnsi="仿宋" w:eastAsia="仿宋" w:cs="仿宋"/>
          <w:bCs/>
          <w:szCs w:val="21"/>
          <w:lang w:eastAsia="zh-Hans"/>
        </w:rPr>
        <w:t>名，获得省级（含直辖市）及以上创新创业类表彰</w:t>
      </w:r>
      <w:r>
        <w:rPr>
          <w:rFonts w:hint="eastAsia" w:ascii="仿宋" w:hAnsi="仿宋" w:eastAsia="仿宋" w:cs="仿宋"/>
          <w:bCs/>
          <w:szCs w:val="21"/>
        </w:rPr>
        <w:t>，</w:t>
      </w:r>
      <w:r>
        <w:rPr>
          <w:rFonts w:ascii="仿宋" w:hAnsi="仿宋" w:eastAsia="仿宋" w:cs="仿宋"/>
          <w:bCs/>
          <w:szCs w:val="21"/>
          <w:lang w:eastAsia="zh-Hans"/>
        </w:rPr>
        <w:t>提供相关证明材料。</w:t>
      </w:r>
    </w:p>
    <w:p>
      <w:pPr>
        <w:adjustRightInd w:val="0"/>
        <w:snapToGrid w:val="0"/>
        <w:spacing w:line="360" w:lineRule="auto"/>
        <w:jc w:val="left"/>
        <w:rPr>
          <w:rFonts w:ascii="仿宋" w:hAnsi="仿宋" w:eastAsia="仿宋" w:cs="仿宋"/>
          <w:bCs/>
          <w:szCs w:val="21"/>
          <w:lang w:eastAsia="zh-Hans"/>
        </w:rPr>
      </w:pPr>
      <w:r>
        <w:rPr>
          <w:rFonts w:hint="eastAsia" w:ascii="仿宋" w:hAnsi="仿宋" w:eastAsia="仿宋" w:cs="仿宋"/>
          <w:bCs/>
          <w:szCs w:val="21"/>
        </w:rPr>
        <w:t>4</w:t>
      </w:r>
      <w:r>
        <w:rPr>
          <w:rFonts w:hint="eastAsia" w:ascii="仿宋" w:hAnsi="仿宋" w:eastAsia="仿宋" w:cs="仿宋"/>
          <w:bCs/>
          <w:szCs w:val="21"/>
          <w:lang w:eastAsia="zh-Hans"/>
        </w:rPr>
        <w:t>.赛事指导专家</w:t>
      </w:r>
      <w:r>
        <w:rPr>
          <w:rFonts w:ascii="仿宋" w:hAnsi="仿宋" w:eastAsia="仿宋" w:cs="仿宋"/>
          <w:bCs/>
          <w:szCs w:val="21"/>
          <w:lang w:eastAsia="zh-Hans"/>
        </w:rPr>
        <w:t>≥2</w:t>
      </w:r>
      <w:r>
        <w:rPr>
          <w:rFonts w:hint="eastAsia" w:ascii="仿宋" w:hAnsi="仿宋" w:eastAsia="仿宋" w:cs="仿宋"/>
          <w:bCs/>
          <w:szCs w:val="21"/>
          <w:lang w:eastAsia="zh-Hans"/>
        </w:rPr>
        <w:t>名</w:t>
      </w:r>
      <w:r>
        <w:rPr>
          <w:rFonts w:ascii="仿宋" w:hAnsi="仿宋" w:eastAsia="仿宋" w:cs="仿宋"/>
          <w:bCs/>
          <w:szCs w:val="21"/>
          <w:lang w:eastAsia="zh-Hans"/>
        </w:rPr>
        <w:t>，需入选</w:t>
      </w:r>
      <w:r>
        <w:rPr>
          <w:rFonts w:hint="eastAsia" w:ascii="仿宋" w:hAnsi="仿宋" w:eastAsia="仿宋" w:cs="仿宋"/>
          <w:bCs/>
          <w:szCs w:val="21"/>
          <w:lang w:eastAsia="zh-Hans"/>
        </w:rPr>
        <w:t>大赛</w:t>
      </w:r>
      <w:r>
        <w:rPr>
          <w:rFonts w:ascii="仿宋" w:hAnsi="仿宋" w:eastAsia="仿宋" w:cs="仿宋"/>
          <w:bCs/>
          <w:szCs w:val="21"/>
          <w:lang w:eastAsia="zh-Hans"/>
        </w:rPr>
        <w:t>创新创业导师人才库，</w:t>
      </w:r>
      <w:r>
        <w:rPr>
          <w:rFonts w:hint="eastAsia" w:ascii="仿宋" w:hAnsi="仿宋" w:eastAsia="仿宋" w:cs="仿宋"/>
          <w:bCs/>
          <w:szCs w:val="21"/>
          <w:lang w:eastAsia="zh-Hans"/>
        </w:rPr>
        <w:t>所指导项目获得国银以上成绩</w:t>
      </w:r>
      <w:r>
        <w:rPr>
          <w:rFonts w:ascii="仿宋" w:hAnsi="仿宋" w:eastAsia="仿宋" w:cs="仿宋"/>
          <w:bCs/>
          <w:szCs w:val="21"/>
          <w:lang w:eastAsia="zh-Hans"/>
        </w:rPr>
        <w:t>，提供相关证明材料。</w:t>
      </w:r>
    </w:p>
    <w:p>
      <w:pPr>
        <w:pStyle w:val="9"/>
      </w:pPr>
      <w:r>
        <w:rPr>
          <w:rFonts w:hint="eastAsia" w:ascii="仿宋" w:hAnsi="仿宋" w:eastAsia="仿宋" w:cs="仿宋"/>
          <w:bCs/>
          <w:szCs w:val="21"/>
        </w:rPr>
        <w:t>5</w:t>
      </w:r>
      <w:r>
        <w:rPr>
          <w:rFonts w:hint="eastAsia" w:ascii="仿宋" w:hAnsi="仿宋" w:eastAsia="仿宋" w:cs="仿宋"/>
          <w:bCs/>
          <w:szCs w:val="21"/>
          <w:lang w:eastAsia="zh-Hans"/>
        </w:rPr>
        <w:t>.孵化指导老师</w:t>
      </w:r>
      <w:r>
        <w:rPr>
          <w:rFonts w:ascii="仿宋" w:hAnsi="仿宋" w:eastAsia="仿宋" w:cs="仿宋"/>
          <w:bCs/>
          <w:szCs w:val="21"/>
          <w:lang w:eastAsia="zh-Hans"/>
        </w:rPr>
        <w:t>≥2</w:t>
      </w:r>
      <w:r>
        <w:rPr>
          <w:rFonts w:hint="eastAsia" w:ascii="仿宋" w:hAnsi="仿宋" w:eastAsia="仿宋" w:cs="仿宋"/>
          <w:bCs/>
          <w:szCs w:val="21"/>
          <w:lang w:eastAsia="zh-Hans"/>
        </w:rPr>
        <w:t>名</w:t>
      </w:r>
      <w:r>
        <w:rPr>
          <w:lang w:eastAsia="zh-Hans"/>
        </w:rPr>
        <w:t>，</w:t>
      </w:r>
      <w:r>
        <w:rPr>
          <w:rFonts w:hint="eastAsia" w:ascii="仿宋" w:hAnsi="仿宋" w:eastAsia="仿宋" w:cs="仿宋"/>
          <w:bCs/>
          <w:szCs w:val="21"/>
          <w:lang w:eastAsia="zh-Hans"/>
        </w:rPr>
        <w:t>师资需具备国家级创业培资质</w:t>
      </w:r>
      <w:r>
        <w:rPr>
          <w:rFonts w:ascii="仿宋" w:hAnsi="仿宋" w:eastAsia="仿宋" w:cs="仿宋"/>
          <w:bCs/>
          <w:szCs w:val="21"/>
          <w:lang w:eastAsia="zh-Hans"/>
        </w:rPr>
        <w:t>，提供相关证明材料</w:t>
      </w:r>
    </w:p>
    <w:p/>
    <w:p>
      <w:pPr>
        <w:pStyle w:val="4"/>
        <w:jc w:val="center"/>
        <w:rPr>
          <w:rFonts w:ascii="仿宋" w:hAnsi="仿宋" w:eastAsia="仿宋" w:cs="仿宋"/>
          <w:bCs/>
          <w:sz w:val="36"/>
          <w:szCs w:val="30"/>
        </w:rPr>
        <w:sectPr>
          <w:pgSz w:w="11906" w:h="16838"/>
          <w:pgMar w:top="1442" w:right="1560" w:bottom="1460" w:left="1800" w:header="720" w:footer="720" w:gutter="0"/>
          <w:pgNumType w:fmt="numberInDash"/>
          <w:cols w:space="720" w:num="1"/>
        </w:sectPr>
      </w:pPr>
    </w:p>
    <w:p>
      <w:pPr>
        <w:pStyle w:val="4"/>
        <w:jc w:val="center"/>
        <w:rPr>
          <w:rFonts w:ascii="仿宋" w:hAnsi="仿宋" w:eastAsia="仿宋" w:cs="仿宋"/>
          <w:bCs/>
          <w:sz w:val="36"/>
          <w:szCs w:val="30"/>
        </w:rPr>
      </w:pPr>
      <w:r>
        <w:rPr>
          <w:rFonts w:hint="eastAsia" w:ascii="仿宋" w:hAnsi="仿宋" w:eastAsia="仿宋" w:cs="仿宋"/>
          <w:bCs/>
          <w:sz w:val="36"/>
          <w:szCs w:val="30"/>
        </w:rPr>
        <w:t>第三篇  项目商务需求</w:t>
      </w:r>
    </w:p>
    <w:p>
      <w:pPr>
        <w:pStyle w:val="5"/>
        <w:spacing w:before="0" w:after="0" w:line="360" w:lineRule="auto"/>
        <w:rPr>
          <w:rFonts w:ascii="仿宋" w:hAnsi="仿宋" w:eastAsia="仿宋" w:cs="仿宋"/>
          <w:sz w:val="24"/>
          <w:szCs w:val="24"/>
        </w:rPr>
      </w:pPr>
      <w:bookmarkStart w:id="39" w:name="_Toc56502266"/>
      <w:bookmarkStart w:id="40" w:name="_Toc466546916"/>
      <w:bookmarkStart w:id="41" w:name="_Toc9683"/>
      <w:r>
        <w:rPr>
          <w:rFonts w:hint="eastAsia" w:ascii="仿宋" w:hAnsi="仿宋" w:eastAsia="仿宋" w:cs="仿宋"/>
          <w:sz w:val="24"/>
          <w:szCs w:val="24"/>
        </w:rPr>
        <w:t>一、服务期、服务地点</w:t>
      </w:r>
      <w:bookmarkEnd w:id="39"/>
      <w:r>
        <w:rPr>
          <w:rFonts w:hint="eastAsia" w:ascii="仿宋" w:hAnsi="仿宋" w:eastAsia="仿宋" w:cs="仿宋"/>
          <w:sz w:val="24"/>
          <w:szCs w:val="24"/>
        </w:rPr>
        <w:t>、验收标准</w:t>
      </w:r>
    </w:p>
    <w:p>
      <w:pPr>
        <w:pStyle w:val="5"/>
        <w:spacing w:before="0" w:after="0" w:line="360" w:lineRule="auto"/>
        <w:rPr>
          <w:rFonts w:hint="eastAsia" w:ascii="仿宋" w:hAnsi="仿宋" w:eastAsia="仿宋" w:cs="仿宋"/>
          <w:sz w:val="24"/>
          <w:szCs w:val="24"/>
        </w:rPr>
      </w:pPr>
      <w:r>
        <w:rPr>
          <w:rFonts w:hint="eastAsia" w:ascii="仿宋" w:hAnsi="仿宋" w:eastAsia="仿宋" w:cs="仿宋"/>
          <w:sz w:val="24"/>
          <w:szCs w:val="24"/>
        </w:rPr>
        <w:t>（一）服务期</w:t>
      </w:r>
    </w:p>
    <w:p>
      <w:pPr>
        <w:spacing w:line="36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lang w:val="en-US" w:eastAsia="zh-CN"/>
        </w:rPr>
        <w:t>2023年3月至2023年9月。</w:t>
      </w:r>
    </w:p>
    <w:p>
      <w:pPr>
        <w:spacing w:line="360" w:lineRule="auto"/>
        <w:rPr>
          <w:rFonts w:ascii="仿宋" w:hAnsi="仿宋" w:eastAsia="仿宋"/>
          <w:b/>
          <w:bCs/>
          <w:sz w:val="24"/>
          <w:szCs w:val="24"/>
        </w:rPr>
      </w:pPr>
      <w:r>
        <w:rPr>
          <w:rFonts w:hint="eastAsia" w:ascii="仿宋" w:hAnsi="仿宋" w:eastAsia="仿宋"/>
          <w:b/>
          <w:bCs/>
          <w:sz w:val="24"/>
          <w:szCs w:val="24"/>
        </w:rPr>
        <w:t>（二）服务地点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重庆城市职业学院</w:t>
      </w:r>
      <w:bookmarkStart w:id="42" w:name="_Toc10713280"/>
      <w:bookmarkStart w:id="43" w:name="_Toc56502267"/>
      <w:bookmarkStart w:id="44" w:name="_Toc267320050"/>
    </w:p>
    <w:p>
      <w:pPr>
        <w:spacing w:line="360" w:lineRule="auto"/>
        <w:rPr>
          <w:rFonts w:ascii="仿宋" w:hAnsi="仿宋" w:eastAsia="仿宋"/>
          <w:b/>
          <w:bCs/>
          <w:sz w:val="24"/>
          <w:szCs w:val="24"/>
          <w:highlight w:val="none"/>
        </w:rPr>
      </w:pPr>
      <w:r>
        <w:rPr>
          <w:rFonts w:hint="eastAsia" w:ascii="仿宋" w:hAnsi="仿宋" w:eastAsia="仿宋"/>
          <w:b/>
          <w:bCs/>
          <w:sz w:val="24"/>
          <w:szCs w:val="24"/>
          <w:highlight w:val="none"/>
        </w:rPr>
        <w:t>（三）验收标准</w:t>
      </w:r>
    </w:p>
    <w:p>
      <w:pPr>
        <w:spacing w:line="360" w:lineRule="auto"/>
        <w:ind w:firstLine="480" w:firstLineChars="200"/>
        <w:rPr>
          <w:rFonts w:hint="eastAsia" w:ascii="仿宋" w:hAnsi="仿宋" w:eastAsia="仿宋" w:cs="Times New Roman"/>
          <w:sz w:val="24"/>
          <w:szCs w:val="24"/>
        </w:rPr>
      </w:pPr>
      <w:r>
        <w:rPr>
          <w:rFonts w:hint="eastAsia" w:ascii="仿宋" w:hAnsi="仿宋" w:eastAsia="仿宋" w:cs="Times New Roman"/>
          <w:sz w:val="24"/>
          <w:szCs w:val="24"/>
          <w:lang w:val="en-US" w:eastAsia="zh-CN"/>
        </w:rPr>
        <w:t>符合合同、采购文件、响应文件及其他相关规定要求</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二、报价要求</w:t>
      </w:r>
      <w:bookmarkEnd w:id="42"/>
      <w:bookmarkEnd w:id="43"/>
    </w:p>
    <w:bookmarkEnd w:id="44"/>
    <w:p>
      <w:pPr>
        <w:spacing w:line="360" w:lineRule="auto"/>
        <w:ind w:firstLine="480" w:firstLineChars="200"/>
        <w:rPr>
          <w:rFonts w:ascii="仿宋" w:hAnsi="仿宋" w:eastAsia="仿宋"/>
          <w:sz w:val="24"/>
          <w:szCs w:val="24"/>
        </w:rPr>
      </w:pPr>
      <w:bookmarkStart w:id="45" w:name="_Toc10713282"/>
      <w:bookmarkStart w:id="46" w:name="_Toc267320051"/>
      <w:r>
        <w:rPr>
          <w:rFonts w:hint="eastAsia" w:ascii="仿宋" w:hAnsi="仿宋" w:eastAsia="仿宋"/>
          <w:sz w:val="24"/>
          <w:szCs w:val="24"/>
        </w:rPr>
        <w:t>本次</w:t>
      </w:r>
      <w:r>
        <w:rPr>
          <w:rFonts w:hint="eastAsia" w:ascii="仿宋" w:hAnsi="仿宋" w:eastAsia="仿宋"/>
          <w:sz w:val="24"/>
          <w:szCs w:val="24"/>
          <w:lang w:val="en-US" w:eastAsia="zh-CN"/>
        </w:rPr>
        <w:t>磋商</w:t>
      </w:r>
      <w:r>
        <w:rPr>
          <w:rFonts w:hint="eastAsia" w:ascii="仿宋" w:hAnsi="仿宋" w:eastAsia="仿宋"/>
          <w:sz w:val="24"/>
          <w:szCs w:val="24"/>
        </w:rPr>
        <w:t>报价为人民币报价，报价包括但不限于完成本项目所需的培训、保险、税费等人工费、材料费等全部费用。因成交供应商自身原因</w:t>
      </w:r>
      <w:bookmarkStart w:id="141" w:name="_GoBack"/>
      <w:bookmarkEnd w:id="141"/>
      <w:r>
        <w:rPr>
          <w:rFonts w:hint="eastAsia" w:ascii="仿宋" w:hAnsi="仿宋" w:eastAsia="仿宋"/>
          <w:sz w:val="24"/>
          <w:szCs w:val="24"/>
        </w:rPr>
        <w:t>造成漏报、少报皆由其自行承担责任，采购人不再补偿。</w:t>
      </w:r>
    </w:p>
    <w:p>
      <w:pPr>
        <w:pStyle w:val="5"/>
        <w:spacing w:before="0" w:after="0"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付款方式</w:t>
      </w:r>
      <w:bookmarkEnd w:id="45"/>
      <w:bookmarkEnd w:id="46"/>
    </w:p>
    <w:p>
      <w:pPr>
        <w:snapToGrid w:val="0"/>
        <w:spacing w:line="360" w:lineRule="auto"/>
        <w:ind w:firstLine="480" w:firstLineChars="200"/>
        <w:rPr>
          <w:rFonts w:hint="default" w:ascii="方正仿宋_GBK" w:hAnsi="宋体" w:eastAsia="方正仿宋_GBK" w:cs="宋体"/>
          <w:kern w:val="0"/>
          <w:sz w:val="24"/>
          <w:szCs w:val="24"/>
          <w:lang w:val="en-US" w:eastAsia="zh-CN"/>
        </w:rPr>
      </w:pPr>
      <w:r>
        <w:rPr>
          <w:rFonts w:hint="eastAsia" w:ascii="方正仿宋_GBK" w:hAnsi="宋体" w:eastAsia="方正仿宋_GBK" w:cs="宋体"/>
          <w:kern w:val="0"/>
          <w:sz w:val="24"/>
          <w:szCs w:val="24"/>
          <w:lang w:val="en-US" w:eastAsia="zh-CN"/>
        </w:rPr>
        <w:t>服务完成后，供应商向采购人提出验收申请；</w:t>
      </w:r>
    </w:p>
    <w:p>
      <w:pPr>
        <w:snapToGrid w:val="0"/>
        <w:spacing w:line="360" w:lineRule="auto"/>
        <w:ind w:firstLine="480" w:firstLineChars="200"/>
        <w:rPr>
          <w:rFonts w:hint="eastAsia" w:eastAsia="方正仿宋_GBK"/>
          <w:lang w:eastAsia="zh-CN"/>
        </w:rPr>
      </w:pPr>
      <w:r>
        <w:rPr>
          <w:rFonts w:hint="eastAsia" w:ascii="方正仿宋_GBK" w:hAnsi="宋体" w:eastAsia="方正仿宋_GBK" w:cs="宋体"/>
          <w:kern w:val="0"/>
          <w:sz w:val="24"/>
          <w:szCs w:val="24"/>
          <w:lang w:val="en-US" w:eastAsia="zh-CN"/>
        </w:rPr>
        <w:t>经采购人组织的验收组验收合格后，</w:t>
      </w:r>
      <w:r>
        <w:rPr>
          <w:rFonts w:hint="eastAsia" w:ascii="方正仿宋_GBK" w:hAnsi="宋体" w:eastAsia="方正仿宋_GBK" w:cs="宋体"/>
          <w:kern w:val="0"/>
          <w:sz w:val="24"/>
          <w:szCs w:val="24"/>
        </w:rPr>
        <w:t>成交供应商向采购人开具</w:t>
      </w:r>
      <w:r>
        <w:rPr>
          <w:rFonts w:hint="eastAsia" w:ascii="方正仿宋_GBK" w:hAnsi="宋体" w:eastAsia="方正仿宋_GBK" w:cs="宋体"/>
          <w:kern w:val="0"/>
          <w:sz w:val="24"/>
          <w:szCs w:val="24"/>
          <w:lang w:val="en-US" w:eastAsia="zh-CN"/>
        </w:rPr>
        <w:t>增值税普通</w:t>
      </w:r>
      <w:r>
        <w:rPr>
          <w:rFonts w:hint="eastAsia" w:ascii="方正仿宋_GBK" w:hAnsi="宋体" w:eastAsia="方正仿宋_GBK" w:cs="宋体"/>
          <w:kern w:val="0"/>
          <w:sz w:val="24"/>
          <w:szCs w:val="24"/>
        </w:rPr>
        <w:t>发票</w:t>
      </w:r>
      <w:r>
        <w:rPr>
          <w:rFonts w:hint="eastAsia" w:ascii="方正仿宋_GBK" w:hAnsi="宋体" w:eastAsia="方正仿宋_GBK" w:cs="宋体"/>
          <w:kern w:val="0"/>
          <w:sz w:val="24"/>
          <w:szCs w:val="24"/>
          <w:lang w:val="en-US" w:eastAsia="zh-CN"/>
        </w:rPr>
        <w:t>后</w:t>
      </w:r>
      <w:r>
        <w:rPr>
          <w:rFonts w:hint="eastAsia" w:ascii="方正仿宋_GBK" w:hAnsi="宋体" w:eastAsia="方正仿宋_GBK" w:cs="宋体"/>
          <w:kern w:val="0"/>
          <w:sz w:val="24"/>
          <w:szCs w:val="24"/>
        </w:rPr>
        <w:t>，采购人以转账方式向成交供应商支付</w:t>
      </w:r>
      <w:r>
        <w:rPr>
          <w:rFonts w:hint="eastAsia" w:ascii="方正仿宋_GBK" w:hAnsi="宋体" w:eastAsia="方正仿宋_GBK" w:cs="宋体"/>
          <w:kern w:val="0"/>
          <w:sz w:val="24"/>
          <w:szCs w:val="24"/>
          <w:lang w:val="en-US" w:eastAsia="zh-CN"/>
        </w:rPr>
        <w:t>合同全款</w:t>
      </w:r>
      <w:r>
        <w:rPr>
          <w:rFonts w:hint="eastAsia" w:ascii="方正仿宋_GBK" w:hAnsi="宋体" w:eastAsia="方正仿宋_GBK" w:cs="宋体"/>
          <w:kern w:val="0"/>
          <w:sz w:val="24"/>
          <w:szCs w:val="24"/>
          <w:lang w:eastAsia="zh-CN"/>
        </w:rPr>
        <w:t>。</w:t>
      </w:r>
    </w:p>
    <w:p>
      <w:pPr>
        <w:pStyle w:val="5"/>
        <w:spacing w:before="0" w:after="0" w:line="360" w:lineRule="auto"/>
        <w:rPr>
          <w:rFonts w:ascii="仿宋" w:hAnsi="仿宋" w:eastAsia="仿宋" w:cs="仿宋"/>
          <w:sz w:val="24"/>
          <w:szCs w:val="24"/>
        </w:rPr>
      </w:pPr>
      <w:bookmarkStart w:id="47" w:name="_Toc56502269"/>
      <w:bookmarkStart w:id="48" w:name="_Toc10713283"/>
      <w:r>
        <w:rPr>
          <w:rFonts w:hint="eastAsia" w:ascii="仿宋" w:hAnsi="仿宋" w:eastAsia="仿宋" w:cs="仿宋"/>
          <w:sz w:val="24"/>
          <w:szCs w:val="24"/>
        </w:rPr>
        <w:t>四、知识产权</w:t>
      </w:r>
      <w:bookmarkEnd w:id="47"/>
      <w:bookmarkEnd w:id="48"/>
    </w:p>
    <w:p>
      <w:pPr>
        <w:spacing w:line="360" w:lineRule="auto"/>
        <w:ind w:firstLine="480" w:firstLineChars="200"/>
        <w:rPr>
          <w:rFonts w:ascii="仿宋" w:hAnsi="仿宋" w:eastAsia="仿宋"/>
          <w:sz w:val="24"/>
          <w:szCs w:val="24"/>
        </w:rPr>
      </w:pPr>
      <w:r>
        <w:rPr>
          <w:rFonts w:hint="eastAsia" w:ascii="仿宋" w:hAnsi="仿宋" w:eastAsia="仿宋"/>
          <w:sz w:val="24"/>
          <w:szCs w:val="24"/>
        </w:rPr>
        <w:t>所有成果知识产权归采购人所有。采购人在中华人民共和国境内使用投标人提供的服务时免受第三方提出的侵犯其专利权</w:t>
      </w:r>
      <w:r>
        <w:rPr>
          <w:rFonts w:hint="eastAsia" w:ascii="仿宋" w:hAnsi="仿宋" w:eastAsia="仿宋"/>
          <w:sz w:val="24"/>
          <w:szCs w:val="24"/>
          <w:lang w:eastAsia="zh-CN"/>
        </w:rPr>
        <w:t>或其他</w:t>
      </w:r>
      <w:r>
        <w:rPr>
          <w:rFonts w:hint="eastAsia" w:ascii="仿宋" w:hAnsi="仿宋" w:eastAsia="仿宋"/>
          <w:sz w:val="24"/>
          <w:szCs w:val="24"/>
        </w:rPr>
        <w:t>知识产权的起诉。如果第三方提出侵权指控，中标人应承担由此而引起的一切法律责任和费用。</w:t>
      </w:r>
    </w:p>
    <w:p>
      <w:pPr>
        <w:pStyle w:val="5"/>
        <w:spacing w:before="0" w:after="0" w:line="360" w:lineRule="auto"/>
        <w:rPr>
          <w:rFonts w:ascii="仿宋" w:hAnsi="仿宋" w:eastAsia="仿宋" w:cs="仿宋"/>
          <w:sz w:val="24"/>
          <w:szCs w:val="24"/>
        </w:rPr>
      </w:pPr>
      <w:bookmarkStart w:id="49" w:name="_Toc13556"/>
      <w:bookmarkStart w:id="50" w:name="_Toc1008"/>
      <w:bookmarkStart w:id="51" w:name="_Toc20594"/>
      <w:bookmarkStart w:id="52" w:name="_Toc76373883"/>
      <w:bookmarkStart w:id="53" w:name="_Toc30757"/>
      <w:bookmarkStart w:id="54" w:name="_Toc32632"/>
      <w:bookmarkStart w:id="55" w:name="_Toc10713285"/>
      <w:bookmarkStart w:id="56" w:name="_Toc56502271"/>
      <w:r>
        <w:rPr>
          <w:rFonts w:hint="eastAsia" w:ascii="仿宋" w:hAnsi="仿宋" w:eastAsia="仿宋" w:cs="仿宋"/>
          <w:sz w:val="24"/>
          <w:szCs w:val="24"/>
        </w:rPr>
        <w:t>五、响应时间</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电话响应4小时；现场响应24小时。</w:t>
      </w:r>
    </w:p>
    <w:p>
      <w:pPr>
        <w:pStyle w:val="5"/>
        <w:spacing w:before="0" w:after="0" w:line="360" w:lineRule="auto"/>
        <w:rPr>
          <w:rFonts w:ascii="仿宋" w:hAnsi="仿宋" w:eastAsia="仿宋"/>
          <w:b w:val="0"/>
          <w:sz w:val="24"/>
          <w:szCs w:val="24"/>
          <w:highlight w:val="yellow"/>
        </w:rPr>
      </w:pPr>
      <w:r>
        <w:rPr>
          <w:rFonts w:hint="eastAsia" w:ascii="仿宋" w:hAnsi="仿宋" w:eastAsia="仿宋" w:cs="仿宋"/>
          <w:sz w:val="24"/>
          <w:szCs w:val="24"/>
        </w:rPr>
        <w:t>六、违约条款</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（一）若供应商无法按照采购需求提供相关服务，则为虚假应标，按违约处理，采购人可根据实际情况取消供应商中标资格，履约保证金不予退还并终止合同，由此造成的一切经济责任由供方承担。</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（二）其他违约条款可在合同中约定。</w:t>
      </w:r>
    </w:p>
    <w:bookmarkEnd w:id="49"/>
    <w:bookmarkEnd w:id="50"/>
    <w:bookmarkEnd w:id="51"/>
    <w:bookmarkEnd w:id="52"/>
    <w:bookmarkEnd w:id="53"/>
    <w:bookmarkEnd w:id="54"/>
    <w:p>
      <w:pPr>
        <w:pStyle w:val="5"/>
        <w:spacing w:before="0" w:after="0" w:line="360" w:lineRule="auto"/>
        <w:rPr>
          <w:rFonts w:ascii="仿宋" w:hAnsi="仿宋" w:eastAsia="仿宋"/>
          <w:sz w:val="24"/>
          <w:szCs w:val="24"/>
        </w:rPr>
      </w:pPr>
      <w:bookmarkStart w:id="57" w:name="_Toc76373879"/>
      <w:bookmarkStart w:id="58" w:name="_Toc4557"/>
      <w:bookmarkStart w:id="59" w:name="_Toc30551"/>
      <w:bookmarkStart w:id="60" w:name="_Toc14311"/>
      <w:bookmarkStart w:id="61" w:name="_Toc5959"/>
      <w:bookmarkStart w:id="62" w:name="_Toc22561"/>
      <w:r>
        <w:rPr>
          <w:rFonts w:hint="eastAsia" w:ascii="仿宋" w:hAnsi="仿宋" w:eastAsia="仿宋" w:cs="仿宋"/>
          <w:sz w:val="24"/>
          <w:szCs w:val="24"/>
        </w:rPr>
        <w:t>七、质量保证及售后服务</w:t>
      </w:r>
      <w:bookmarkEnd w:id="57"/>
      <w:bookmarkEnd w:id="58"/>
      <w:bookmarkEnd w:id="59"/>
      <w:bookmarkEnd w:id="60"/>
      <w:bookmarkEnd w:id="61"/>
      <w:bookmarkEnd w:id="62"/>
    </w:p>
    <w:p>
      <w:pPr>
        <w:spacing w:line="360" w:lineRule="auto"/>
        <w:rPr>
          <w:rFonts w:ascii="仿宋" w:hAnsi="仿宋" w:eastAsia="仿宋"/>
          <w:b/>
          <w:bCs/>
          <w:sz w:val="24"/>
          <w:szCs w:val="24"/>
        </w:rPr>
      </w:pPr>
      <w:r>
        <w:rPr>
          <w:rFonts w:hint="eastAsia" w:ascii="仿宋" w:hAnsi="仿宋" w:eastAsia="仿宋"/>
          <w:b/>
          <w:bCs/>
          <w:sz w:val="24"/>
          <w:szCs w:val="24"/>
        </w:rPr>
        <w:t>（</w:t>
      </w:r>
      <w:r>
        <w:rPr>
          <w:rFonts w:hint="eastAsia" w:ascii="仿宋" w:hAnsi="仿宋" w:eastAsia="仿宋"/>
          <w:b/>
          <w:bCs/>
          <w:sz w:val="24"/>
          <w:szCs w:val="24"/>
          <w:lang w:val="en-US" w:eastAsia="zh-CN"/>
        </w:rPr>
        <w:t>一</w:t>
      </w:r>
      <w:r>
        <w:rPr>
          <w:rFonts w:hint="eastAsia" w:ascii="仿宋" w:hAnsi="仿宋" w:eastAsia="仿宋"/>
          <w:b/>
          <w:bCs/>
          <w:sz w:val="24"/>
          <w:szCs w:val="24"/>
        </w:rPr>
        <w:t>）售后服务内容</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1.投标人在质量保证期内应当为采购人提供以下技术支持和服务：</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1.1电话咨询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投标人应当为采购人提供技术援助电话，解答采购人在使用中遇到的问题，及时为采购人提出解决问题的建议。</w:t>
      </w:r>
    </w:p>
    <w:p>
      <w:pPr>
        <w:spacing w:line="360" w:lineRule="auto"/>
        <w:ind w:firstLine="240" w:firstLineChars="100"/>
        <w:rPr>
          <w:rFonts w:ascii="仿宋" w:hAnsi="仿宋" w:eastAsia="仿宋"/>
          <w:sz w:val="24"/>
          <w:szCs w:val="24"/>
        </w:rPr>
      </w:pPr>
      <w:r>
        <w:rPr>
          <w:rFonts w:hint="eastAsia" w:ascii="仿宋" w:hAnsi="仿宋" w:eastAsia="仿宋"/>
          <w:sz w:val="24"/>
          <w:szCs w:val="24"/>
        </w:rPr>
        <w:t>1.2现场响应</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采购人遇到技术问题，电话咨询不能解决的，投标人应在8小时内到达现场进行处理，确保项目正常运行。</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八、其他商务要求</w:t>
      </w:r>
      <w:bookmarkEnd w:id="55"/>
      <w:bookmarkEnd w:id="56"/>
    </w:p>
    <w:p>
      <w:pPr>
        <w:spacing w:line="360" w:lineRule="auto"/>
        <w:ind w:firstLine="240" w:firstLineChars="100"/>
        <w:rPr>
          <w:rFonts w:ascii="仿宋" w:hAnsi="仿宋" w:eastAsia="仿宋"/>
          <w:sz w:val="24"/>
          <w:szCs w:val="24"/>
        </w:rPr>
      </w:pPr>
      <w:r>
        <w:rPr>
          <w:rFonts w:hint="eastAsia" w:ascii="仿宋" w:hAnsi="仿宋" w:eastAsia="仿宋"/>
          <w:sz w:val="24"/>
          <w:szCs w:val="24"/>
        </w:rPr>
        <w:t>（一）其他未尽事宜由供需双方在采购合同中详细约定。</w:t>
      </w:r>
    </w:p>
    <w:bookmarkEnd w:id="40"/>
    <w:bookmarkEnd w:id="41"/>
    <w:p>
      <w:pPr>
        <w:sectPr>
          <w:pgSz w:w="11906" w:h="16838"/>
          <w:pgMar w:top="1442" w:right="1560" w:bottom="1460" w:left="1800" w:header="720" w:footer="720" w:gutter="0"/>
          <w:pgNumType w:fmt="numberInDash"/>
          <w:cols w:space="720" w:num="1"/>
        </w:sectPr>
      </w:pPr>
    </w:p>
    <w:p>
      <w:pPr>
        <w:pStyle w:val="4"/>
        <w:pageBreakBefore/>
        <w:rPr>
          <w:rFonts w:ascii="仿宋" w:hAnsi="仿宋" w:eastAsia="仿宋" w:cs="仿宋"/>
          <w:bCs/>
          <w:sz w:val="36"/>
          <w:szCs w:val="30"/>
        </w:rPr>
      </w:pPr>
      <w:bookmarkStart w:id="63" w:name="_Toc56502272"/>
      <w:r>
        <w:rPr>
          <w:rFonts w:hint="eastAsia" w:ascii="仿宋" w:hAnsi="仿宋" w:eastAsia="仿宋" w:cs="仿宋"/>
          <w:bCs/>
          <w:sz w:val="36"/>
          <w:szCs w:val="30"/>
        </w:rPr>
        <w:t>第四篇  磋商程序及方法、评审标准、无效响应和</w:t>
      </w:r>
      <w:r>
        <w:rPr>
          <w:rFonts w:hint="eastAsia" w:ascii="仿宋" w:hAnsi="仿宋" w:eastAsia="仿宋" w:cs="仿宋"/>
          <w:bCs/>
          <w:sz w:val="36"/>
          <w:szCs w:val="36"/>
        </w:rPr>
        <w:t>采购终止</w:t>
      </w:r>
      <w:bookmarkEnd w:id="63"/>
    </w:p>
    <w:p>
      <w:pPr>
        <w:pStyle w:val="5"/>
        <w:spacing w:before="0" w:after="0" w:line="440" w:lineRule="exact"/>
        <w:rPr>
          <w:rFonts w:ascii="仿宋" w:hAnsi="仿宋" w:eastAsia="仿宋" w:cs="仿宋"/>
          <w:sz w:val="24"/>
          <w:szCs w:val="24"/>
        </w:rPr>
      </w:pPr>
      <w:bookmarkStart w:id="64" w:name="_Toc56502273"/>
      <w:bookmarkStart w:id="65" w:name="_Toc13615"/>
      <w:bookmarkStart w:id="66" w:name="_Toc466546920"/>
      <w:bookmarkStart w:id="67" w:name="_Toc31680"/>
      <w:r>
        <w:rPr>
          <w:rFonts w:hint="eastAsia" w:ascii="仿宋" w:hAnsi="仿宋" w:eastAsia="仿宋" w:cs="仿宋"/>
          <w:sz w:val="24"/>
          <w:szCs w:val="24"/>
        </w:rPr>
        <w:t>一、磋商程序及方法</w:t>
      </w:r>
      <w:bookmarkEnd w:id="64"/>
      <w:bookmarkEnd w:id="65"/>
      <w:bookmarkEnd w:id="66"/>
      <w:bookmarkEnd w:id="67"/>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sz w:val="24"/>
          <w:szCs w:val="24"/>
        </w:rPr>
        <w:t>1、</w:t>
      </w:r>
      <w:r>
        <w:rPr>
          <w:rFonts w:hint="eastAsia" w:ascii="仿宋" w:hAnsi="仿宋" w:eastAsia="仿宋" w:cs="仿宋"/>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676"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5102"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检查因素</w:t>
            </w:r>
          </w:p>
        </w:tc>
        <w:tc>
          <w:tcPr>
            <w:tcW w:w="3850"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1</w:t>
            </w:r>
          </w:p>
        </w:tc>
        <w:tc>
          <w:tcPr>
            <w:tcW w:w="709"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供应商应符合的基本资格条件</w:t>
            </w: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（1）具有独立承担民事责任的能力</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供应商法人营业执照（副本）或事业单位法人证书（副本）或个体工商户营业执照或有效的自然人身份证明、组织机构代码证复印件（注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eq \o\ac(</w:instrText>
            </w:r>
            <w:r>
              <w:rPr>
                <w:rFonts w:hint="eastAsia" w:ascii="仿宋" w:hAnsi="仿宋" w:eastAsia="仿宋" w:cs="仿宋"/>
                <w:position w:val="-4"/>
                <w:sz w:val="31"/>
                <w:szCs w:val="21"/>
              </w:rPr>
              <w:instrText xml:space="preserve">○</w:instrText>
            </w:r>
            <w:r>
              <w:rPr>
                <w:rFonts w:hint="eastAsia" w:ascii="仿宋" w:hAnsi="仿宋" w:eastAsia="仿宋" w:cs="仿宋"/>
                <w:sz w:val="21"/>
                <w:szCs w:val="21"/>
              </w:rPr>
              <w:instrText xml:space="preserve">,2)</w:instrText>
            </w:r>
            <w:r>
              <w:rPr>
                <w:rFonts w:hint="eastAsia" w:ascii="仿宋" w:hAnsi="仿宋" w:eastAsia="仿宋" w:cs="仿宋"/>
                <w:sz w:val="21"/>
                <w:szCs w:val="21"/>
              </w:rPr>
              <w:fldChar w:fldCharType="end"/>
            </w:r>
            <w:r>
              <w:rPr>
                <w:rFonts w:hint="eastAsia" w:ascii="仿宋" w:hAnsi="仿宋" w:eastAsia="仿宋" w:cs="仿宋"/>
                <w:sz w:val="21"/>
                <w:szCs w:val="21"/>
              </w:rPr>
              <w:t xml:space="preserve">）； </w:t>
            </w:r>
          </w:p>
          <w:p>
            <w:pPr>
              <w:spacing w:line="240" w:lineRule="exact"/>
              <w:rPr>
                <w:rFonts w:ascii="仿宋" w:hAnsi="仿宋" w:eastAsia="仿宋" w:cs="仿宋"/>
                <w:sz w:val="21"/>
                <w:szCs w:val="21"/>
              </w:rPr>
            </w:pPr>
            <w:r>
              <w:rPr>
                <w:rFonts w:hint="eastAsia" w:ascii="仿宋" w:hAnsi="仿宋" w:eastAsia="仿宋" w:cs="仿宋"/>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lang w:val="zh-CN"/>
              </w:rPr>
              <w:t>（2）</w:t>
            </w:r>
            <w:r>
              <w:rPr>
                <w:rFonts w:hint="eastAsia" w:ascii="仿宋" w:hAnsi="仿宋" w:eastAsia="仿宋" w:cs="仿宋"/>
                <w:sz w:val="21"/>
                <w:szCs w:val="21"/>
              </w:rPr>
              <w:t>具有良好的商业信誉和健全的财务会计制度</w:t>
            </w:r>
          </w:p>
        </w:tc>
        <w:tc>
          <w:tcPr>
            <w:tcW w:w="3850" w:type="dxa"/>
            <w:vMerge w:val="restart"/>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提供基本资格条件承诺函（格式）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（3）具有履行合同所必需的设备和专业技术能力</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lang w:val="zh-CN"/>
              </w:rPr>
              <w:t>（4）有依法缴纳税收和社会保障金的良好记录</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lang w:val="zh-CN"/>
              </w:rPr>
            </w:pPr>
          </w:p>
        </w:tc>
        <w:tc>
          <w:tcPr>
            <w:tcW w:w="4393"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（5）参加政府采购活动前三年内，在经营活动中没有重大违法记录（注</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eq \o\ac(</w:instrText>
            </w:r>
            <w:r>
              <w:rPr>
                <w:rFonts w:hint="eastAsia" w:ascii="仿宋" w:hAnsi="仿宋" w:eastAsia="仿宋" w:cs="仿宋"/>
                <w:position w:val="-4"/>
                <w:sz w:val="31"/>
                <w:szCs w:val="21"/>
              </w:rPr>
              <w:instrText xml:space="preserve">○</w:instrText>
            </w:r>
            <w:r>
              <w:rPr>
                <w:rFonts w:hint="eastAsia" w:ascii="仿宋" w:hAnsi="仿宋" w:eastAsia="仿宋" w:cs="仿宋"/>
                <w:sz w:val="21"/>
                <w:szCs w:val="21"/>
              </w:rPr>
              <w:instrText xml:space="preserve">,3)</w:instrText>
            </w:r>
            <w:r>
              <w:rPr>
                <w:rFonts w:hint="eastAsia" w:ascii="仿宋" w:hAnsi="仿宋" w:eastAsia="仿宋" w:cs="仿宋"/>
                <w:sz w:val="21"/>
                <w:szCs w:val="21"/>
              </w:rPr>
              <w:fldChar w:fldCharType="end"/>
            </w:r>
            <w:r>
              <w:rPr>
                <w:rFonts w:hint="eastAsia" w:ascii="仿宋" w:hAnsi="仿宋" w:eastAsia="仿宋" w:cs="仿宋"/>
                <w:sz w:val="21"/>
                <w:szCs w:val="21"/>
              </w:rPr>
              <w:t>）</w:t>
            </w:r>
          </w:p>
        </w:tc>
        <w:tc>
          <w:tcPr>
            <w:tcW w:w="3850" w:type="dxa"/>
            <w:vMerge w:val="continue"/>
            <w:vAlign w:val="center"/>
          </w:tcPr>
          <w:p>
            <w:pPr>
              <w:spacing w:line="240" w:lineRule="exact"/>
              <w:rPr>
                <w:rFonts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spacing w:line="240" w:lineRule="exact"/>
              <w:jc w:val="center"/>
              <w:rPr>
                <w:rFonts w:ascii="仿宋" w:hAnsi="仿宋" w:eastAsia="仿宋" w:cs="仿宋"/>
                <w:sz w:val="21"/>
                <w:szCs w:val="21"/>
              </w:rPr>
            </w:pPr>
          </w:p>
        </w:tc>
        <w:tc>
          <w:tcPr>
            <w:tcW w:w="709" w:type="dxa"/>
            <w:vMerge w:val="continue"/>
            <w:vAlign w:val="center"/>
          </w:tcPr>
          <w:p>
            <w:pPr>
              <w:spacing w:line="240" w:lineRule="exact"/>
              <w:rPr>
                <w:rFonts w:ascii="仿宋" w:hAnsi="仿宋" w:eastAsia="仿宋" w:cs="仿宋"/>
                <w:sz w:val="21"/>
                <w:szCs w:val="21"/>
              </w:rPr>
            </w:pPr>
          </w:p>
        </w:tc>
        <w:tc>
          <w:tcPr>
            <w:tcW w:w="4393"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（6）法律、行政法规规定的其他条件</w:t>
            </w:r>
          </w:p>
        </w:tc>
        <w:tc>
          <w:tcPr>
            <w:tcW w:w="3850" w:type="dxa"/>
            <w:vMerge w:val="continue"/>
            <w:vAlign w:val="center"/>
          </w:tcPr>
          <w:p>
            <w:pPr>
              <w:spacing w:line="240" w:lineRule="exact"/>
              <w:rPr>
                <w:rFonts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2</w:t>
            </w:r>
          </w:p>
        </w:tc>
        <w:tc>
          <w:tcPr>
            <w:tcW w:w="5102"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rPr>
              <w:t>特定资格条件</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按第一篇“三、供应商资格要求（二）特定资格条件”的要求提交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6" w:type="dxa"/>
            <w:vAlign w:val="center"/>
          </w:tcPr>
          <w:p>
            <w:pPr>
              <w:spacing w:line="240" w:lineRule="exact"/>
              <w:jc w:val="center"/>
              <w:rPr>
                <w:rFonts w:ascii="仿宋" w:hAnsi="仿宋" w:eastAsia="仿宋" w:cs="仿宋"/>
                <w:sz w:val="21"/>
                <w:szCs w:val="21"/>
              </w:rPr>
            </w:pPr>
            <w:r>
              <w:rPr>
                <w:rFonts w:hint="eastAsia" w:ascii="仿宋" w:hAnsi="仿宋" w:eastAsia="仿宋" w:cs="仿宋"/>
                <w:sz w:val="21"/>
                <w:szCs w:val="21"/>
              </w:rPr>
              <w:t>3</w:t>
            </w:r>
          </w:p>
        </w:tc>
        <w:tc>
          <w:tcPr>
            <w:tcW w:w="5102" w:type="dxa"/>
            <w:gridSpan w:val="2"/>
            <w:vAlign w:val="center"/>
          </w:tcPr>
          <w:p>
            <w:pPr>
              <w:spacing w:line="240" w:lineRule="exact"/>
              <w:rPr>
                <w:rFonts w:ascii="仿宋" w:hAnsi="仿宋" w:eastAsia="仿宋" w:cs="仿宋"/>
                <w:sz w:val="21"/>
                <w:szCs w:val="21"/>
              </w:rPr>
            </w:pPr>
            <w:r>
              <w:rPr>
                <w:rFonts w:hint="eastAsia" w:ascii="仿宋" w:hAnsi="仿宋" w:eastAsia="仿宋" w:cs="仿宋"/>
                <w:sz w:val="21"/>
                <w:szCs w:val="21"/>
              </w:rPr>
              <w:t>磋商保证金</w:t>
            </w:r>
          </w:p>
        </w:tc>
        <w:tc>
          <w:tcPr>
            <w:tcW w:w="3850"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按照竞争性磋商文件的规定提交磋商保证金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8" w:type="dxa"/>
            <w:gridSpan w:val="4"/>
            <w:vAlign w:val="center"/>
          </w:tcPr>
          <w:p>
            <w:pPr>
              <w:snapToGrid w:val="0"/>
              <w:spacing w:line="400" w:lineRule="exact"/>
              <w:ind w:firstLine="420" w:firstLineChars="200"/>
              <w:rPr>
                <w:rFonts w:ascii="仿宋" w:hAnsi="仿宋" w:eastAsia="仿宋" w:cs="仿宋"/>
                <w:sz w:val="21"/>
                <w:szCs w:val="21"/>
              </w:rPr>
            </w:pPr>
          </w:p>
        </w:tc>
      </w:tr>
    </w:tbl>
    <w:p>
      <w:pPr>
        <w:snapToGrid w:val="0"/>
        <w:spacing w:line="400" w:lineRule="exact"/>
        <w:ind w:firstLine="240" w:firstLineChars="100"/>
        <w:rPr>
          <w:rFonts w:ascii="仿宋" w:hAnsi="仿宋" w:eastAsia="仿宋" w:cs="仿宋"/>
          <w:kern w:val="0"/>
          <w:sz w:val="24"/>
          <w:szCs w:val="24"/>
        </w:rPr>
      </w:pPr>
      <w:r>
        <w:rPr>
          <w:rFonts w:hint="eastAsia" w:ascii="仿宋" w:hAnsi="仿宋" w:eastAsia="仿宋" w:cs="仿宋"/>
          <w:kern w:val="0"/>
          <w:sz w:val="24"/>
          <w:szCs w:val="24"/>
        </w:rPr>
        <w:t>注：</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eq \o\ac(○,</w:instrText>
      </w:r>
      <w:r>
        <w:rPr>
          <w:rFonts w:hint="eastAsia" w:ascii="仿宋" w:hAnsi="仿宋" w:eastAsia="仿宋" w:cs="仿宋"/>
          <w:kern w:val="0"/>
          <w:position w:val="3"/>
          <w:sz w:val="16"/>
          <w:szCs w:val="24"/>
        </w:rPr>
        <w:instrText xml:space="preserve">2</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eq \o\ac(○,</w:instrText>
      </w:r>
      <w:r>
        <w:rPr>
          <w:rFonts w:hint="eastAsia" w:ascii="仿宋" w:hAnsi="仿宋" w:eastAsia="仿宋" w:cs="仿宋"/>
          <w:kern w:val="0"/>
          <w:position w:val="3"/>
          <w:sz w:val="16"/>
          <w:szCs w:val="24"/>
        </w:rPr>
        <w:instrText xml:space="preserve">3</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2、符合性检查。依据竞争性磋商文件的规定，从响应文件的有效性、完整性和对竞争性磋商文件的响应程度进行审查，以确定是否对竞争性磋商文件的实质性要求作出响应。符合性检查资料表如下：</w:t>
      </w:r>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符合性检查资料表如下：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序号</w:t>
            </w:r>
          </w:p>
        </w:tc>
        <w:tc>
          <w:tcPr>
            <w:tcW w:w="3544" w:type="dxa"/>
            <w:gridSpan w:val="2"/>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评审因素</w:t>
            </w:r>
          </w:p>
        </w:tc>
        <w:tc>
          <w:tcPr>
            <w:tcW w:w="5409" w:type="dxa"/>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1</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有效性审查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响应文件签署</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响应文件上法定代表人（机构负责人）或其授权代表人的签字齐全。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法定代表人身份证明及授权委托书</w:t>
            </w:r>
          </w:p>
        </w:tc>
        <w:tc>
          <w:tcPr>
            <w:tcW w:w="5409" w:type="dxa"/>
            <w:vAlign w:val="center"/>
          </w:tcPr>
          <w:p>
            <w:pPr>
              <w:spacing w:line="240" w:lineRule="exact"/>
              <w:rPr>
                <w:rFonts w:ascii="仿宋" w:hAnsi="仿宋" w:eastAsia="仿宋" w:cs="仿宋"/>
                <w:sz w:val="21"/>
                <w:szCs w:val="21"/>
              </w:rPr>
            </w:pPr>
            <w:r>
              <w:rPr>
                <w:rFonts w:hint="eastAsia" w:ascii="仿宋" w:hAnsi="仿宋" w:eastAsia="仿宋" w:cs="仿宋"/>
                <w:sz w:val="21"/>
                <w:szCs w:val="21"/>
              </w:rPr>
              <w:t>法定代表人（机构负责人）身份证明及授权委托书有效，符合竞争性磋商文件规定的格式，签字或盖章齐全。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方案</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每个分包只能有一个</w:t>
            </w:r>
            <w:r>
              <w:rPr>
                <w:rFonts w:hint="eastAsia" w:ascii="仿宋" w:hAnsi="仿宋" w:eastAsia="仿宋" w:cs="仿宋"/>
                <w:sz w:val="21"/>
                <w:szCs w:val="21"/>
              </w:rPr>
              <w:t>响应</w:t>
            </w:r>
            <w:r>
              <w:rPr>
                <w:rFonts w:hint="eastAsia" w:ascii="仿宋" w:hAnsi="仿宋" w:eastAsia="仿宋" w:cs="仿宋"/>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报价唯一</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lang w:val="zh-CN"/>
              </w:rPr>
              <w:t>只能在采购预算范围内报价，</w:t>
            </w:r>
            <w:r>
              <w:rPr>
                <w:rFonts w:hint="eastAsia" w:ascii="仿宋" w:hAnsi="仿宋" w:eastAsia="仿宋" w:cs="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2</w:t>
            </w:r>
          </w:p>
        </w:tc>
        <w:tc>
          <w:tcPr>
            <w:tcW w:w="1560" w:type="dxa"/>
            <w:vMerge w:val="restart"/>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完整性审查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文件份数</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sz w:val="21"/>
                <w:szCs w:val="21"/>
              </w:rPr>
              <w:t>响应</w:t>
            </w:r>
            <w:r>
              <w:rPr>
                <w:rFonts w:hint="eastAsia" w:ascii="仿宋" w:hAnsi="仿宋" w:eastAsia="仿宋" w:cs="仿宋"/>
                <w:sz w:val="21"/>
                <w:szCs w:val="21"/>
                <w:lang w:val="zh-CN"/>
              </w:rPr>
              <w:t>文件正、副本数量符合</w:t>
            </w:r>
            <w:r>
              <w:rPr>
                <w:rFonts w:hint="eastAsia" w:ascii="仿宋" w:hAnsi="仿宋" w:eastAsia="仿宋" w:cs="仿宋"/>
                <w:sz w:val="21"/>
                <w:szCs w:val="21"/>
              </w:rPr>
              <w:t>竞争性磋商</w:t>
            </w:r>
            <w:r>
              <w:rPr>
                <w:rFonts w:hint="eastAsia" w:ascii="仿宋" w:hAnsi="仿宋" w:eastAsia="仿宋" w:cs="仿宋"/>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kern w:val="0"/>
                <w:sz w:val="21"/>
                <w:szCs w:val="21"/>
              </w:rPr>
            </w:pPr>
          </w:p>
        </w:tc>
        <w:tc>
          <w:tcPr>
            <w:tcW w:w="1984"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w:t>
            </w:r>
          </w:p>
        </w:tc>
        <w:tc>
          <w:tcPr>
            <w:tcW w:w="5409" w:type="dxa"/>
            <w:vAlign w:val="center"/>
          </w:tcPr>
          <w:p>
            <w:pPr>
              <w:spacing w:line="240" w:lineRule="exact"/>
              <w:rPr>
                <w:rFonts w:ascii="仿宋" w:hAnsi="仿宋" w:eastAsia="仿宋" w:cs="仿宋"/>
                <w:sz w:val="21"/>
                <w:szCs w:val="21"/>
                <w:lang w:val="zh-CN"/>
              </w:rPr>
            </w:pPr>
            <w:r>
              <w:rPr>
                <w:rFonts w:hint="eastAsia" w:ascii="仿宋" w:hAnsi="仿宋" w:eastAsia="仿宋" w:cs="仿宋"/>
                <w:sz w:val="21"/>
                <w:szCs w:val="21"/>
              </w:rPr>
              <w:t>响应</w:t>
            </w:r>
            <w:r>
              <w:rPr>
                <w:rFonts w:hint="eastAsia" w:ascii="仿宋" w:hAnsi="仿宋" w:eastAsia="仿宋" w:cs="仿宋"/>
                <w:sz w:val="21"/>
                <w:szCs w:val="21"/>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3</w:t>
            </w:r>
          </w:p>
        </w:tc>
        <w:tc>
          <w:tcPr>
            <w:tcW w:w="1560" w:type="dxa"/>
            <w:vMerge w:val="restart"/>
            <w:vAlign w:val="center"/>
          </w:tcPr>
          <w:p>
            <w:pPr>
              <w:spacing w:line="240" w:lineRule="exact"/>
              <w:rPr>
                <w:rFonts w:ascii="仿宋" w:hAnsi="仿宋" w:eastAsia="仿宋" w:cs="仿宋"/>
                <w:sz w:val="21"/>
                <w:szCs w:val="21"/>
                <w:lang w:val="zh-CN"/>
              </w:rPr>
            </w:pPr>
            <w:r>
              <w:rPr>
                <w:rFonts w:hint="eastAsia" w:ascii="仿宋" w:hAnsi="仿宋" w:eastAsia="仿宋" w:cs="仿宋"/>
                <w:kern w:val="0"/>
                <w:sz w:val="21"/>
                <w:szCs w:val="21"/>
              </w:rPr>
              <w:t>竞争性磋商文件的响应程度审查</w:t>
            </w: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响应文件内容</w:t>
            </w:r>
          </w:p>
        </w:tc>
        <w:tc>
          <w:tcPr>
            <w:tcW w:w="5409" w:type="dxa"/>
            <w:vAlign w:val="center"/>
          </w:tcPr>
          <w:p>
            <w:pPr>
              <w:pStyle w:val="12"/>
              <w:spacing w:line="240" w:lineRule="exact"/>
              <w:rPr>
                <w:rFonts w:ascii="仿宋" w:hAnsi="仿宋" w:eastAsia="仿宋" w:cs="仿宋"/>
                <w:kern w:val="0"/>
                <w:sz w:val="21"/>
                <w:szCs w:val="21"/>
              </w:rPr>
            </w:pPr>
            <w:r>
              <w:rPr>
                <w:rFonts w:hint="eastAsia" w:ascii="仿宋" w:hAnsi="仿宋" w:eastAsia="仿宋" w:cs="仿宋"/>
                <w:kern w:val="0"/>
                <w:sz w:val="21"/>
                <w:szCs w:val="21"/>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仿宋" w:hAnsi="仿宋" w:eastAsia="仿宋" w:cs="仿宋"/>
                <w:kern w:val="0"/>
                <w:sz w:val="21"/>
                <w:szCs w:val="21"/>
              </w:rPr>
            </w:pPr>
          </w:p>
        </w:tc>
        <w:tc>
          <w:tcPr>
            <w:tcW w:w="1560" w:type="dxa"/>
            <w:vMerge w:val="continue"/>
            <w:vAlign w:val="center"/>
          </w:tcPr>
          <w:p>
            <w:pPr>
              <w:spacing w:line="240" w:lineRule="exact"/>
              <w:rPr>
                <w:rFonts w:ascii="仿宋" w:hAnsi="仿宋" w:eastAsia="仿宋" w:cs="仿宋"/>
                <w:sz w:val="21"/>
                <w:szCs w:val="21"/>
                <w:lang w:val="zh-CN"/>
              </w:rPr>
            </w:pPr>
          </w:p>
        </w:tc>
        <w:tc>
          <w:tcPr>
            <w:tcW w:w="1984"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磋商有效期</w:t>
            </w:r>
          </w:p>
        </w:tc>
        <w:tc>
          <w:tcPr>
            <w:tcW w:w="5409" w:type="dxa"/>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满足磋商文件</w:t>
            </w:r>
            <w:r>
              <w:rPr>
                <w:rFonts w:hint="eastAsia" w:ascii="仿宋" w:hAnsi="仿宋" w:eastAsia="仿宋" w:cs="仿宋"/>
                <w:sz w:val="21"/>
                <w:szCs w:val="21"/>
                <w:lang w:val="zh-CN"/>
              </w:rPr>
              <w:t>规定。</w:t>
            </w:r>
          </w:p>
        </w:tc>
      </w:tr>
    </w:tbl>
    <w:p>
      <w:pPr>
        <w:spacing w:line="400" w:lineRule="exact"/>
        <w:ind w:firstLine="480" w:firstLineChars="200"/>
        <w:rPr>
          <w:rFonts w:ascii="仿宋" w:hAnsi="仿宋" w:eastAsia="仿宋" w:cs="仿宋"/>
          <w:sz w:val="24"/>
          <w:szCs w:val="24"/>
        </w:rPr>
      </w:pPr>
      <w:bookmarkStart w:id="68" w:name="_Toc102227320"/>
      <w:bookmarkStart w:id="69" w:name="_Toc342913394"/>
      <w:r>
        <w:rPr>
          <w:rFonts w:hint="eastAsia" w:ascii="仿宋" w:hAnsi="仿宋" w:eastAsia="仿宋" w:cs="仿宋"/>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（五）在磋商过程中磋商的任何一方不得向他人透露与磋商有关的技术资料、价格或其他信息。</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（七）供应商在磋商时作出的所有书面承诺须由法定代表人或其授权代表签字。</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105分。</w:t>
      </w:r>
      <w:r>
        <w:rPr>
          <w:rFonts w:hint="eastAsia" w:ascii="仿宋" w:hAnsi="仿宋" w:eastAsia="仿宋" w:cs="仿宋"/>
          <w:kern w:val="0"/>
          <w:sz w:val="24"/>
          <w:szCs w:val="24"/>
        </w:rPr>
        <w:t>其中：5分为政策性加分</w:t>
      </w:r>
      <w:r>
        <w:rPr>
          <w:rFonts w:hint="eastAsia" w:ascii="仿宋" w:hAnsi="仿宋" w:eastAsia="仿宋" w:cs="仿宋"/>
          <w:sz w:val="24"/>
          <w:szCs w:val="24"/>
        </w:rPr>
        <w:t>。</w:t>
      </w:r>
    </w:p>
    <w:p>
      <w:pPr>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十）磋商小组各成员独立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5"/>
        <w:spacing w:before="0" w:after="0" w:line="440" w:lineRule="exact"/>
        <w:rPr>
          <w:rFonts w:ascii="仿宋" w:hAnsi="仿宋" w:eastAsia="仿宋" w:cs="仿宋"/>
          <w:sz w:val="24"/>
          <w:szCs w:val="24"/>
        </w:rPr>
      </w:pPr>
      <w:bookmarkStart w:id="70" w:name="_Toc5292"/>
      <w:bookmarkStart w:id="71" w:name="_Toc25870"/>
      <w:bookmarkStart w:id="72" w:name="_Toc56502274"/>
      <w:r>
        <w:rPr>
          <w:rFonts w:hint="eastAsia" w:ascii="仿宋" w:hAnsi="仿宋" w:eastAsia="仿宋" w:cs="仿宋"/>
          <w:sz w:val="24"/>
          <w:szCs w:val="24"/>
        </w:rPr>
        <w:t>二、</w:t>
      </w:r>
      <w:bookmarkStart w:id="73" w:name="_Toc512590180"/>
      <w:r>
        <w:rPr>
          <w:rFonts w:hint="eastAsia" w:ascii="仿宋" w:hAnsi="仿宋" w:eastAsia="仿宋" w:cs="仿宋"/>
          <w:sz w:val="24"/>
          <w:szCs w:val="24"/>
        </w:rPr>
        <w:t>评审标准</w:t>
      </w:r>
      <w:bookmarkEnd w:id="70"/>
      <w:bookmarkEnd w:id="71"/>
      <w:bookmarkEnd w:id="72"/>
      <w:bookmarkEnd w:id="73"/>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（一）评审因素</w:t>
      </w:r>
    </w:p>
    <w:bookmarkEnd w:id="68"/>
    <w:bookmarkEnd w:id="69"/>
    <w:tbl>
      <w:tblPr>
        <w:tblStyle w:val="18"/>
        <w:tblpPr w:leftFromText="180" w:rightFromText="180" w:vertAnchor="text" w:horzAnchor="page" w:tblpX="1291" w:tblpY="805"/>
        <w:tblOverlap w:val="never"/>
        <w:tblW w:w="46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1103"/>
        <w:gridCol w:w="696"/>
        <w:gridCol w:w="4281"/>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334" w:type="pct"/>
            <w:noWrap w:val="0"/>
            <w:vAlign w:val="center"/>
          </w:tcPr>
          <w:p>
            <w:pPr>
              <w:adjustRightInd w:val="0"/>
              <w:snapToGrid w:val="0"/>
              <w:ind w:firstLine="28"/>
              <w:jc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rPr>
              <w:t>序号</w:t>
            </w:r>
          </w:p>
        </w:tc>
        <w:tc>
          <w:tcPr>
            <w:tcW w:w="616" w:type="pct"/>
            <w:noWrap w:val="0"/>
            <w:vAlign w:val="center"/>
          </w:tcPr>
          <w:p>
            <w:pPr>
              <w:adjustRightInd w:val="0"/>
              <w:snapToGrid w:val="0"/>
              <w:ind w:firstLine="28"/>
              <w:jc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rPr>
              <w:t>评分因素</w:t>
            </w:r>
          </w:p>
          <w:p>
            <w:pPr>
              <w:adjustRightInd w:val="0"/>
              <w:snapToGrid w:val="0"/>
              <w:ind w:firstLine="28"/>
              <w:jc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rPr>
              <w:t>及权重</w:t>
            </w:r>
          </w:p>
        </w:tc>
        <w:tc>
          <w:tcPr>
            <w:tcW w:w="389" w:type="pct"/>
            <w:noWrap w:val="0"/>
            <w:vAlign w:val="center"/>
          </w:tcPr>
          <w:p>
            <w:pPr>
              <w:adjustRightInd w:val="0"/>
              <w:snapToGrid w:val="0"/>
              <w:ind w:firstLine="28"/>
              <w:jc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rPr>
              <w:t>分值</w:t>
            </w:r>
          </w:p>
        </w:tc>
        <w:tc>
          <w:tcPr>
            <w:tcW w:w="2392" w:type="pct"/>
            <w:noWrap w:val="0"/>
            <w:vAlign w:val="center"/>
          </w:tcPr>
          <w:p>
            <w:pPr>
              <w:adjustRightInd w:val="0"/>
              <w:snapToGrid w:val="0"/>
              <w:ind w:firstLine="28"/>
              <w:jc w:val="center"/>
              <w:rPr>
                <w:rFonts w:hint="eastAsia" w:ascii="仿宋" w:hAnsi="仿宋" w:eastAsia="仿宋" w:cs="仿宋"/>
                <w:b/>
                <w:bCs/>
                <w:color w:val="000000"/>
                <w:sz w:val="20"/>
                <w:szCs w:val="20"/>
                <w:highlight w:val="none"/>
              </w:rPr>
            </w:pPr>
            <w:r>
              <w:rPr>
                <w:rFonts w:hint="eastAsia" w:ascii="仿宋" w:hAnsi="仿宋" w:eastAsia="仿宋" w:cs="仿宋"/>
                <w:b/>
                <w:bCs/>
                <w:color w:val="000000"/>
                <w:sz w:val="20"/>
                <w:szCs w:val="20"/>
                <w:highlight w:val="none"/>
              </w:rPr>
              <w:t>评分标准</w:t>
            </w:r>
          </w:p>
        </w:tc>
        <w:tc>
          <w:tcPr>
            <w:tcW w:w="1266" w:type="pct"/>
            <w:noWrap w:val="0"/>
            <w:vAlign w:val="center"/>
          </w:tcPr>
          <w:p>
            <w:pPr>
              <w:widowControl w:val="0"/>
              <w:adjustRightInd w:val="0"/>
              <w:snapToGrid w:val="0"/>
              <w:spacing w:before="0" w:after="0" w:line="240" w:lineRule="auto"/>
              <w:jc w:val="center"/>
              <w:rPr>
                <w:rFonts w:hint="eastAsia" w:ascii="仿宋" w:hAnsi="仿宋" w:eastAsia="仿宋" w:cs="仿宋"/>
                <w:b/>
                <w:bCs/>
                <w:color w:val="000000"/>
                <w:kern w:val="2"/>
                <w:sz w:val="20"/>
                <w:szCs w:val="20"/>
                <w:highlight w:val="none"/>
                <w:lang w:val="en-US" w:eastAsia="zh-CN" w:bidi="ar-SA"/>
              </w:rPr>
            </w:pPr>
            <w:r>
              <w:rPr>
                <w:rFonts w:hint="eastAsia" w:ascii="仿宋" w:hAnsi="仿宋" w:eastAsia="仿宋" w:cs="仿宋"/>
                <w:b/>
                <w:bCs/>
                <w:color w:val="000000"/>
                <w:kern w:val="2"/>
                <w:sz w:val="20"/>
                <w:szCs w:val="20"/>
                <w:highlight w:val="none"/>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334"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616"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投标报价</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r>
              <w:rPr>
                <w:rFonts w:hint="eastAsia" w:ascii="仿宋" w:hAnsi="仿宋" w:eastAsia="仿宋" w:cs="仿宋"/>
                <w:color w:val="000000"/>
                <w:sz w:val="20"/>
                <w:szCs w:val="20"/>
                <w:highlight w:val="none"/>
                <w:lang w:val="en-US" w:eastAsia="zh-CN"/>
              </w:rPr>
              <w:t>5</w:t>
            </w:r>
            <w:r>
              <w:rPr>
                <w:rFonts w:hint="eastAsia" w:ascii="仿宋" w:hAnsi="仿宋" w:eastAsia="仿宋" w:cs="仿宋"/>
                <w:color w:val="000000"/>
                <w:sz w:val="20"/>
                <w:szCs w:val="20"/>
                <w:highlight w:val="none"/>
              </w:rPr>
              <w:t>%）</w:t>
            </w:r>
          </w:p>
        </w:tc>
        <w:tc>
          <w:tcPr>
            <w:tcW w:w="389"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报价</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val="en-US" w:eastAsia="zh-CN"/>
              </w:rPr>
              <w:t>15</w:t>
            </w:r>
            <w:r>
              <w:rPr>
                <w:rFonts w:hint="eastAsia" w:ascii="仿宋" w:hAnsi="仿宋" w:eastAsia="仿宋" w:cs="仿宋"/>
                <w:color w:val="000000"/>
                <w:sz w:val="20"/>
                <w:szCs w:val="20"/>
                <w:highlight w:val="none"/>
              </w:rPr>
              <w:t>分）</w:t>
            </w:r>
          </w:p>
        </w:tc>
        <w:tc>
          <w:tcPr>
            <w:tcW w:w="2392" w:type="pct"/>
            <w:noWrap w:val="0"/>
            <w:vAlign w:val="center"/>
          </w:tcPr>
          <w:p>
            <w:pPr>
              <w:tabs>
                <w:tab w:val="left" w:pos="1881"/>
              </w:tabs>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（1）以进入综合评分环节的评标报价为基准价，基准价报价得分为</w:t>
            </w:r>
            <w:r>
              <w:rPr>
                <w:rFonts w:hint="eastAsia" w:ascii="仿宋" w:hAnsi="仿宋" w:eastAsia="仿宋" w:cs="仿宋"/>
                <w:color w:val="auto"/>
                <w:sz w:val="20"/>
                <w:szCs w:val="20"/>
                <w:highlight w:val="none"/>
                <w:lang w:val="en-US" w:eastAsia="zh-CN"/>
              </w:rPr>
              <w:t>15</w:t>
            </w:r>
            <w:r>
              <w:rPr>
                <w:rFonts w:hint="eastAsia" w:ascii="仿宋" w:hAnsi="仿宋" w:eastAsia="仿宋" w:cs="仿宋"/>
                <w:color w:val="auto"/>
                <w:sz w:val="20"/>
                <w:szCs w:val="20"/>
                <w:highlight w:val="none"/>
              </w:rPr>
              <w:t>分。</w:t>
            </w:r>
          </w:p>
          <w:p>
            <w:pPr>
              <w:tabs>
                <w:tab w:val="left" w:pos="1881"/>
              </w:tabs>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）价格分计算公式：</w:t>
            </w:r>
          </w:p>
          <w:p>
            <w:pPr>
              <w:tabs>
                <w:tab w:val="left" w:pos="1881"/>
              </w:tabs>
              <w:spacing w:line="240" w:lineRule="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某供应商价格分=某供应商评标报价金额/基准价×</w:t>
            </w:r>
            <w:r>
              <w:rPr>
                <w:rFonts w:hint="eastAsia" w:ascii="仿宋" w:hAnsi="仿宋" w:eastAsia="仿宋" w:cs="仿宋"/>
                <w:color w:val="auto"/>
                <w:sz w:val="20"/>
                <w:szCs w:val="20"/>
                <w:highlight w:val="none"/>
                <w:lang w:val="en-US" w:eastAsia="zh-CN"/>
              </w:rPr>
              <w:t>15</w:t>
            </w:r>
            <w:r>
              <w:rPr>
                <w:rFonts w:hint="eastAsia" w:ascii="仿宋" w:hAnsi="仿宋" w:eastAsia="仿宋" w:cs="仿宋"/>
                <w:color w:val="auto"/>
                <w:sz w:val="20"/>
                <w:szCs w:val="20"/>
                <w:highlight w:val="none"/>
              </w:rPr>
              <w:t>分</w:t>
            </w:r>
          </w:p>
          <w:p>
            <w:pPr>
              <w:adjustRightInd w:val="0"/>
              <w:snapToGrid w:val="0"/>
              <w:spacing w:line="240" w:lineRule="auto"/>
              <w:jc w:val="left"/>
              <w:rPr>
                <w:rFonts w:hint="eastAsia" w:ascii="仿宋" w:hAnsi="仿宋" w:eastAsia="仿宋" w:cs="仿宋"/>
                <w:color w:val="000000"/>
                <w:sz w:val="20"/>
                <w:szCs w:val="20"/>
                <w:highlight w:val="none"/>
              </w:rPr>
            </w:pPr>
          </w:p>
        </w:tc>
        <w:tc>
          <w:tcPr>
            <w:tcW w:w="1266" w:type="pct"/>
            <w:noWrap w:val="0"/>
            <w:vAlign w:val="center"/>
          </w:tcPr>
          <w:p>
            <w:pPr>
              <w:adjustRightInd w:val="0"/>
              <w:snapToGrid w:val="0"/>
              <w:jc w:val="left"/>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对参与评审企业</w:t>
            </w:r>
            <w:r>
              <w:rPr>
                <w:rFonts w:hint="eastAsia" w:ascii="仿宋" w:hAnsi="仿宋" w:eastAsia="仿宋" w:cs="仿宋"/>
                <w:color w:val="000000"/>
                <w:sz w:val="20"/>
                <w:szCs w:val="20"/>
                <w:highlight w:val="none"/>
                <w:lang w:eastAsia="zh-CN"/>
              </w:rPr>
              <w:t>，需提供企业相关证明材料。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334" w:type="pct"/>
            <w:vMerge w:val="restar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2</w:t>
            </w:r>
          </w:p>
        </w:tc>
        <w:tc>
          <w:tcPr>
            <w:tcW w:w="616" w:type="pct"/>
            <w:vMerge w:val="restar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技术部分</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w:t>
            </w:r>
            <w:r>
              <w:rPr>
                <w:rFonts w:hint="eastAsia" w:ascii="仿宋" w:hAnsi="仿宋" w:eastAsia="仿宋" w:cs="仿宋"/>
                <w:color w:val="000000"/>
                <w:sz w:val="20"/>
                <w:szCs w:val="20"/>
                <w:highlight w:val="none"/>
                <w:lang w:val="en-US" w:eastAsia="zh-CN"/>
              </w:rPr>
              <w:t>45</w:t>
            </w:r>
            <w:r>
              <w:rPr>
                <w:rFonts w:hint="eastAsia" w:ascii="仿宋" w:hAnsi="仿宋" w:eastAsia="仿宋" w:cs="仿宋"/>
                <w:color w:val="000000"/>
                <w:sz w:val="20"/>
                <w:szCs w:val="20"/>
                <w:highlight w:val="none"/>
              </w:rPr>
              <w:t>%）</w:t>
            </w:r>
          </w:p>
        </w:tc>
        <w:tc>
          <w:tcPr>
            <w:tcW w:w="389"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培训师资队伍（</w:t>
            </w:r>
            <w:r>
              <w:rPr>
                <w:rFonts w:hint="eastAsia" w:ascii="仿宋" w:hAnsi="仿宋" w:eastAsia="仿宋" w:cs="仿宋"/>
                <w:color w:val="000000"/>
                <w:sz w:val="20"/>
                <w:szCs w:val="20"/>
                <w:highlight w:val="none"/>
                <w:lang w:val="en-US" w:eastAsia="zh-CN"/>
              </w:rPr>
              <w:t>8</w:t>
            </w:r>
            <w:r>
              <w:rPr>
                <w:rFonts w:hint="eastAsia" w:ascii="仿宋" w:hAnsi="仿宋" w:eastAsia="仿宋" w:cs="仿宋"/>
                <w:color w:val="000000"/>
                <w:sz w:val="20"/>
                <w:szCs w:val="20"/>
                <w:highlight w:val="none"/>
              </w:rPr>
              <w:t>分）</w:t>
            </w:r>
          </w:p>
        </w:tc>
        <w:tc>
          <w:tcPr>
            <w:tcW w:w="2392" w:type="pct"/>
            <w:noWrap w:val="0"/>
            <w:vAlign w:val="center"/>
          </w:tcPr>
          <w:p>
            <w:pPr>
              <w:tabs>
                <w:tab w:val="left" w:pos="1881"/>
              </w:tabs>
              <w:spacing w:line="240" w:lineRule="auto"/>
              <w:rPr>
                <w:rFonts w:hint="eastAsia" w:ascii="仿宋" w:hAnsi="仿宋" w:eastAsia="仿宋" w:cs="仿宋"/>
                <w:sz w:val="20"/>
                <w:szCs w:val="20"/>
                <w:highlight w:val="none"/>
              </w:rPr>
            </w:pPr>
            <w:r>
              <w:rPr>
                <w:rFonts w:hint="eastAsia" w:ascii="仿宋" w:hAnsi="仿宋" w:eastAsia="仿宋" w:cs="仿宋"/>
                <w:sz w:val="20"/>
                <w:szCs w:val="20"/>
                <w:highlight w:val="none"/>
              </w:rPr>
              <w:t>培训师资队伍：</w:t>
            </w:r>
          </w:p>
          <w:p>
            <w:pPr>
              <w:widowControl w:val="0"/>
              <w:spacing w:after="120" w:line="240" w:lineRule="auto"/>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1.孵化指导师资。提供师资需具备国家级创业培资质一个得2分，最高得4分。</w:t>
            </w:r>
          </w:p>
          <w:p>
            <w:pPr>
              <w:widowControl w:val="0"/>
              <w:spacing w:after="120" w:line="240" w:lineRule="auto"/>
              <w:jc w:val="both"/>
              <w:rPr>
                <w:rFonts w:hint="default"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2.赛事指导师资。师资具备国家级创新创业大赛指导经验，提供所指导项目曾获国银及以上成绩证明，一个得2分，最高得4分。</w:t>
            </w:r>
          </w:p>
          <w:p>
            <w:pPr>
              <w:adjustRightInd w:val="0"/>
              <w:snapToGrid w:val="0"/>
              <w:spacing w:line="240" w:lineRule="auto"/>
              <w:jc w:val="left"/>
              <w:rPr>
                <w:rFonts w:hint="eastAsia" w:ascii="仿宋" w:hAnsi="仿宋" w:eastAsia="仿宋" w:cs="仿宋"/>
                <w:color w:val="FF0000"/>
                <w:sz w:val="20"/>
                <w:szCs w:val="20"/>
                <w:highlight w:val="none"/>
              </w:rPr>
            </w:pPr>
            <w:r>
              <w:rPr>
                <w:rFonts w:hint="eastAsia" w:ascii="仿宋" w:hAnsi="仿宋" w:eastAsia="仿宋" w:cs="仿宋"/>
                <w:sz w:val="20"/>
                <w:szCs w:val="20"/>
                <w:highlight w:val="none"/>
              </w:rPr>
              <w:t>（需提供提供佐证材料，原件备查）</w:t>
            </w:r>
          </w:p>
        </w:tc>
        <w:tc>
          <w:tcPr>
            <w:tcW w:w="1266" w:type="pct"/>
            <w:vMerge w:val="restart"/>
            <w:noWrap w:val="0"/>
            <w:vAlign w:val="center"/>
          </w:tcPr>
          <w:p>
            <w:pPr>
              <w:adjustRightInd w:val="0"/>
              <w:snapToGrid w:val="0"/>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根据竞标人提供的书面方案评审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334"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616"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389"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专家顾问团队（</w:t>
            </w:r>
            <w:r>
              <w:rPr>
                <w:rFonts w:hint="eastAsia" w:ascii="仿宋" w:hAnsi="仿宋" w:eastAsia="仿宋" w:cs="仿宋"/>
                <w:color w:val="000000"/>
                <w:sz w:val="20"/>
                <w:szCs w:val="20"/>
                <w:highlight w:val="none"/>
                <w:lang w:val="en-US" w:eastAsia="zh-CN"/>
              </w:rPr>
              <w:t>7</w:t>
            </w:r>
            <w:r>
              <w:rPr>
                <w:rFonts w:hint="eastAsia" w:ascii="仿宋" w:hAnsi="仿宋" w:eastAsia="仿宋" w:cs="仿宋"/>
                <w:color w:val="000000"/>
                <w:sz w:val="20"/>
                <w:szCs w:val="20"/>
                <w:highlight w:val="none"/>
              </w:rPr>
              <w:t>分）</w:t>
            </w:r>
          </w:p>
        </w:tc>
        <w:tc>
          <w:tcPr>
            <w:tcW w:w="2392" w:type="pct"/>
            <w:noWrap w:val="0"/>
            <w:vAlign w:val="center"/>
          </w:tcPr>
          <w:p>
            <w:pPr>
              <w:adjustRightInd w:val="0"/>
              <w:snapToGrid w:val="0"/>
              <w:jc w:val="left"/>
              <w:rPr>
                <w:rFonts w:hint="eastAsia" w:ascii="仿宋" w:hAnsi="仿宋" w:eastAsia="仿宋" w:cs="仿宋"/>
                <w:sz w:val="20"/>
                <w:szCs w:val="20"/>
                <w:highlight w:val="none"/>
              </w:rPr>
            </w:pPr>
            <w:r>
              <w:rPr>
                <w:rFonts w:hint="eastAsia" w:ascii="仿宋" w:hAnsi="仿宋" w:eastAsia="仿宋" w:cs="仿宋"/>
                <w:sz w:val="20"/>
                <w:szCs w:val="20"/>
                <w:highlight w:val="none"/>
              </w:rPr>
              <w:t xml:space="preserve">专家顾问团队： </w:t>
            </w:r>
          </w:p>
          <w:p>
            <w:pPr>
              <w:tabs>
                <w:tab w:val="left" w:pos="1881"/>
              </w:tabs>
              <w:spacing w:line="300" w:lineRule="exact"/>
              <w:rPr>
                <w:rFonts w:hint="eastAsia" w:ascii="仿宋" w:hAnsi="仿宋" w:eastAsia="仿宋" w:cs="仿宋"/>
                <w:sz w:val="20"/>
                <w:szCs w:val="20"/>
                <w:highlight w:val="none"/>
              </w:rPr>
            </w:pPr>
            <w:r>
              <w:rPr>
                <w:rFonts w:hint="eastAsia" w:ascii="仿宋" w:hAnsi="仿宋" w:eastAsia="仿宋" w:cs="仿宋"/>
                <w:sz w:val="20"/>
                <w:szCs w:val="20"/>
                <w:highlight w:val="none"/>
              </w:rPr>
              <w:t>1.专家顾问需担任过省级教育厅创业导师，高校客座教授（</w:t>
            </w:r>
            <w:r>
              <w:rPr>
                <w:rFonts w:hint="eastAsia" w:ascii="仿宋" w:hAnsi="仿宋" w:eastAsia="仿宋" w:cs="仿宋"/>
                <w:sz w:val="20"/>
                <w:szCs w:val="20"/>
                <w:highlight w:val="none"/>
                <w:lang w:val="en-US" w:eastAsia="zh-CN"/>
              </w:rPr>
              <w:t>3</w:t>
            </w:r>
            <w:r>
              <w:rPr>
                <w:rFonts w:hint="eastAsia" w:ascii="仿宋" w:hAnsi="仿宋" w:eastAsia="仿宋" w:cs="仿宋"/>
                <w:sz w:val="20"/>
                <w:szCs w:val="20"/>
                <w:highlight w:val="none"/>
              </w:rPr>
              <w:t>分）</w:t>
            </w:r>
          </w:p>
          <w:p>
            <w:pPr>
              <w:tabs>
                <w:tab w:val="left" w:pos="1881"/>
              </w:tabs>
              <w:spacing w:line="300" w:lineRule="exact"/>
              <w:rPr>
                <w:rFonts w:hint="eastAsia" w:ascii="仿宋" w:hAnsi="仿宋" w:eastAsia="仿宋" w:cs="仿宋"/>
                <w:sz w:val="20"/>
                <w:szCs w:val="20"/>
                <w:highlight w:val="none"/>
              </w:rPr>
            </w:pPr>
            <w:r>
              <w:rPr>
                <w:rFonts w:hint="eastAsia" w:ascii="仿宋" w:hAnsi="仿宋" w:eastAsia="仿宋" w:cs="仿宋"/>
                <w:sz w:val="20"/>
                <w:szCs w:val="20"/>
                <w:highlight w:val="none"/>
              </w:rPr>
              <w:t>2.专家顾问需入选教育部高等教育司“全国万民优秀创新创业导师人才库”（2分）</w:t>
            </w:r>
          </w:p>
          <w:p>
            <w:pPr>
              <w:widowControl w:val="0"/>
              <w:spacing w:after="120"/>
              <w:jc w:val="both"/>
              <w:rPr>
                <w:rFonts w:hint="eastAsia" w:ascii="仿宋" w:hAnsi="仿宋" w:eastAsia="仿宋" w:cs="仿宋"/>
                <w:kern w:val="2"/>
                <w:sz w:val="20"/>
                <w:szCs w:val="20"/>
                <w:highlight w:val="none"/>
                <w:lang w:val="en-US" w:eastAsia="zh-CN" w:bidi="ar-SA"/>
              </w:rPr>
            </w:pPr>
            <w:r>
              <w:rPr>
                <w:rFonts w:hint="eastAsia" w:ascii="仿宋" w:hAnsi="仿宋" w:eastAsia="仿宋" w:cs="仿宋"/>
                <w:kern w:val="2"/>
                <w:sz w:val="20"/>
                <w:szCs w:val="20"/>
                <w:highlight w:val="none"/>
                <w:lang w:val="en-US" w:eastAsia="zh-CN" w:bidi="ar-SA"/>
              </w:rPr>
              <w:t>3.专家顾问需参与过国家级创新创业大赛评审（2分）</w:t>
            </w:r>
          </w:p>
          <w:p>
            <w:pPr>
              <w:adjustRightInd w:val="0"/>
              <w:snapToGrid w:val="0"/>
              <w:jc w:val="left"/>
              <w:rPr>
                <w:rFonts w:hint="eastAsia" w:ascii="仿宋" w:hAnsi="仿宋" w:eastAsia="仿宋" w:cs="仿宋"/>
                <w:color w:val="FF0000"/>
                <w:sz w:val="20"/>
                <w:szCs w:val="20"/>
                <w:highlight w:val="none"/>
              </w:rPr>
            </w:pPr>
            <w:r>
              <w:rPr>
                <w:rFonts w:hint="eastAsia" w:ascii="仿宋" w:hAnsi="仿宋" w:eastAsia="仿宋" w:cs="仿宋"/>
                <w:sz w:val="20"/>
                <w:szCs w:val="20"/>
                <w:highlight w:val="none"/>
              </w:rPr>
              <w:t>（需提供提供佐证材料及服务简报，原件备查）</w:t>
            </w:r>
          </w:p>
        </w:tc>
        <w:tc>
          <w:tcPr>
            <w:tcW w:w="1266" w:type="pct"/>
            <w:vMerge w:val="continue"/>
            <w:noWrap w:val="0"/>
            <w:vAlign w:val="center"/>
          </w:tcPr>
          <w:p>
            <w:pPr>
              <w:adjustRightInd w:val="0"/>
              <w:snapToGrid w:val="0"/>
              <w:jc w:val="left"/>
              <w:rPr>
                <w:rFonts w:hint="eastAsia" w:ascii="仿宋" w:hAnsi="仿宋" w:eastAsia="仿宋" w:cs="仿宋"/>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4"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616"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389" w:type="pct"/>
            <w:vMerge w:val="restar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创业项目培训（</w:t>
            </w:r>
            <w:r>
              <w:rPr>
                <w:rFonts w:hint="eastAsia" w:ascii="仿宋" w:hAnsi="仿宋" w:eastAsia="仿宋" w:cs="仿宋"/>
                <w:color w:val="000000"/>
                <w:sz w:val="20"/>
                <w:szCs w:val="20"/>
                <w:highlight w:val="none"/>
                <w:lang w:val="en-US" w:eastAsia="zh-CN"/>
              </w:rPr>
              <w:t>30</w:t>
            </w:r>
            <w:r>
              <w:rPr>
                <w:rFonts w:hint="eastAsia" w:ascii="仿宋" w:hAnsi="仿宋" w:eastAsia="仿宋" w:cs="仿宋"/>
                <w:color w:val="000000"/>
                <w:sz w:val="20"/>
                <w:szCs w:val="20"/>
                <w:highlight w:val="none"/>
              </w:rPr>
              <w:t>分）</w:t>
            </w:r>
          </w:p>
        </w:tc>
        <w:tc>
          <w:tcPr>
            <w:tcW w:w="2392" w:type="pct"/>
            <w:noWrap w:val="0"/>
            <w:vAlign w:val="center"/>
          </w:tcPr>
          <w:p>
            <w:pPr>
              <w:adjustRightInd w:val="0"/>
              <w:snapToGrid w:val="0"/>
              <w:jc w:val="left"/>
              <w:rPr>
                <w:rFonts w:hint="eastAsia" w:ascii="仿宋" w:hAnsi="仿宋" w:eastAsia="仿宋" w:cs="仿宋"/>
                <w:color w:val="000000"/>
                <w:kern w:val="0"/>
                <w:sz w:val="20"/>
                <w:szCs w:val="20"/>
                <w:highlight w:val="none"/>
              </w:rPr>
            </w:pPr>
            <w:r>
              <w:rPr>
                <w:rFonts w:hint="eastAsia" w:ascii="仿宋" w:hAnsi="仿宋" w:eastAsia="仿宋" w:cs="仿宋"/>
                <w:color w:val="000000"/>
                <w:kern w:val="0"/>
                <w:sz w:val="20"/>
                <w:szCs w:val="20"/>
                <w:highlight w:val="none"/>
              </w:rPr>
              <w:t>创业项目培训：提供培训方案，课程内容</w:t>
            </w:r>
            <w:r>
              <w:rPr>
                <w:rFonts w:hint="eastAsia" w:ascii="仿宋" w:hAnsi="仿宋" w:eastAsia="仿宋" w:cs="仿宋"/>
                <w:kern w:val="0"/>
                <w:sz w:val="20"/>
                <w:szCs w:val="20"/>
                <w:highlight w:val="none"/>
              </w:rPr>
              <w:t>，培训体系曾为省级部门提供服务，提供服务简报及佐证材料。此项满分</w:t>
            </w:r>
            <w:r>
              <w:rPr>
                <w:rFonts w:hint="eastAsia" w:ascii="仿宋" w:hAnsi="仿宋" w:eastAsia="仿宋" w:cs="仿宋"/>
                <w:kern w:val="0"/>
                <w:sz w:val="20"/>
                <w:szCs w:val="20"/>
                <w:highlight w:val="none"/>
                <w:lang w:val="en-US" w:eastAsia="zh-CN"/>
              </w:rPr>
              <w:t>3</w:t>
            </w:r>
            <w:r>
              <w:rPr>
                <w:rFonts w:hint="eastAsia" w:ascii="仿宋" w:hAnsi="仿宋" w:eastAsia="仿宋" w:cs="仿宋"/>
                <w:kern w:val="0"/>
                <w:sz w:val="20"/>
                <w:szCs w:val="20"/>
                <w:highlight w:val="none"/>
              </w:rPr>
              <w:t>0分。</w:t>
            </w:r>
          </w:p>
        </w:tc>
        <w:tc>
          <w:tcPr>
            <w:tcW w:w="1266" w:type="pct"/>
            <w:vMerge w:val="continue"/>
            <w:noWrap w:val="0"/>
            <w:vAlign w:val="center"/>
          </w:tcPr>
          <w:p>
            <w:pPr>
              <w:adjustRightInd w:val="0"/>
              <w:snapToGrid w:val="0"/>
              <w:jc w:val="left"/>
              <w:rPr>
                <w:rFonts w:hint="eastAsia" w:ascii="仿宋" w:hAnsi="仿宋" w:eastAsia="仿宋" w:cs="仿宋"/>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616"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389"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2392" w:type="pct"/>
            <w:noWrap w:val="0"/>
            <w:vAlign w:val="center"/>
          </w:tcPr>
          <w:p>
            <w:pPr>
              <w:adjustRightInd w:val="0"/>
              <w:snapToGrid w:val="0"/>
              <w:jc w:val="left"/>
              <w:rPr>
                <w:rFonts w:hint="eastAsia" w:ascii="仿宋" w:hAnsi="仿宋" w:eastAsia="仿宋" w:cs="仿宋"/>
                <w:color w:val="000000"/>
                <w:kern w:val="0"/>
                <w:sz w:val="20"/>
                <w:szCs w:val="20"/>
                <w:highlight w:val="none"/>
              </w:rPr>
            </w:pPr>
            <w:r>
              <w:rPr>
                <w:rFonts w:hint="eastAsia" w:ascii="仿宋" w:hAnsi="仿宋" w:eastAsia="仿宋" w:cs="仿宋"/>
                <w:kern w:val="0"/>
                <w:sz w:val="20"/>
                <w:szCs w:val="20"/>
                <w:highlight w:val="none"/>
                <w:lang w:val="en-US" w:eastAsia="zh-CN"/>
              </w:rPr>
              <w:t>一档，</w:t>
            </w:r>
            <w:r>
              <w:rPr>
                <w:rFonts w:hint="eastAsia" w:ascii="仿宋" w:hAnsi="仿宋" w:eastAsia="仿宋" w:cs="仿宋"/>
                <w:kern w:val="0"/>
                <w:sz w:val="20"/>
                <w:szCs w:val="20"/>
                <w:highlight w:val="none"/>
              </w:rPr>
              <w:t>培训方案非常合理、非常科学、非常全面的</w:t>
            </w:r>
            <w:r>
              <w:rPr>
                <w:rFonts w:hint="eastAsia" w:ascii="仿宋" w:hAnsi="仿宋" w:eastAsia="仿宋" w:cs="仿宋"/>
                <w:color w:val="000000"/>
                <w:kern w:val="0"/>
                <w:sz w:val="20"/>
                <w:szCs w:val="20"/>
                <w:highlight w:val="none"/>
              </w:rPr>
              <w:t>得</w:t>
            </w:r>
            <w:r>
              <w:rPr>
                <w:rFonts w:hint="eastAsia" w:ascii="仿宋" w:hAnsi="仿宋" w:eastAsia="仿宋" w:cs="仿宋"/>
                <w:color w:val="000000"/>
                <w:kern w:val="0"/>
                <w:sz w:val="20"/>
                <w:szCs w:val="20"/>
                <w:highlight w:val="none"/>
                <w:lang w:val="en-US" w:eastAsia="zh-CN"/>
              </w:rPr>
              <w:t>30</w:t>
            </w:r>
            <w:r>
              <w:rPr>
                <w:rFonts w:hint="eastAsia" w:ascii="仿宋" w:hAnsi="仿宋" w:eastAsia="仿宋" w:cs="仿宋"/>
                <w:color w:val="000000"/>
                <w:kern w:val="0"/>
                <w:sz w:val="20"/>
                <w:szCs w:val="20"/>
                <w:highlight w:val="none"/>
              </w:rPr>
              <w:t>分；</w:t>
            </w:r>
          </w:p>
          <w:p>
            <w:pPr>
              <w:adjustRightInd w:val="0"/>
              <w:snapToGrid w:val="0"/>
              <w:jc w:val="left"/>
              <w:rPr>
                <w:rFonts w:hint="eastAsia" w:ascii="仿宋" w:hAnsi="仿宋" w:eastAsia="仿宋" w:cs="仿宋"/>
                <w:color w:val="000000"/>
                <w:kern w:val="0"/>
                <w:sz w:val="20"/>
                <w:szCs w:val="20"/>
                <w:highlight w:val="none"/>
              </w:rPr>
            </w:pPr>
            <w:r>
              <w:rPr>
                <w:rFonts w:hint="eastAsia" w:ascii="仿宋" w:hAnsi="仿宋" w:eastAsia="仿宋" w:cs="仿宋"/>
                <w:kern w:val="0"/>
                <w:sz w:val="20"/>
                <w:szCs w:val="20"/>
                <w:highlight w:val="none"/>
                <w:lang w:val="en-US" w:eastAsia="zh-CN"/>
              </w:rPr>
              <w:t>二挡，</w:t>
            </w:r>
            <w:r>
              <w:rPr>
                <w:rFonts w:hint="eastAsia" w:ascii="仿宋" w:hAnsi="仿宋" w:eastAsia="仿宋" w:cs="仿宋"/>
                <w:kern w:val="0"/>
                <w:sz w:val="20"/>
                <w:szCs w:val="20"/>
                <w:highlight w:val="none"/>
              </w:rPr>
              <w:t>培训方案比较合理、比较科学、比较全面的</w:t>
            </w:r>
            <w:r>
              <w:rPr>
                <w:rFonts w:hint="eastAsia" w:ascii="仿宋" w:hAnsi="仿宋" w:eastAsia="仿宋" w:cs="仿宋"/>
                <w:color w:val="000000"/>
                <w:kern w:val="0"/>
                <w:sz w:val="20"/>
                <w:szCs w:val="20"/>
                <w:highlight w:val="none"/>
              </w:rPr>
              <w:t>得</w:t>
            </w:r>
            <w:r>
              <w:rPr>
                <w:rFonts w:hint="eastAsia" w:ascii="仿宋" w:hAnsi="仿宋" w:eastAsia="仿宋" w:cs="仿宋"/>
                <w:color w:val="000000"/>
                <w:kern w:val="0"/>
                <w:sz w:val="20"/>
                <w:szCs w:val="20"/>
                <w:highlight w:val="none"/>
                <w:lang w:val="en-US" w:eastAsia="zh-CN"/>
              </w:rPr>
              <w:t>20</w:t>
            </w:r>
            <w:r>
              <w:rPr>
                <w:rFonts w:hint="eastAsia" w:ascii="仿宋" w:hAnsi="仿宋" w:eastAsia="仿宋" w:cs="仿宋"/>
                <w:color w:val="000000"/>
                <w:kern w:val="0"/>
                <w:sz w:val="20"/>
                <w:szCs w:val="20"/>
                <w:highlight w:val="none"/>
              </w:rPr>
              <w:t>分；</w:t>
            </w:r>
          </w:p>
          <w:p>
            <w:pPr>
              <w:adjustRightInd w:val="0"/>
              <w:snapToGrid w:val="0"/>
              <w:jc w:val="left"/>
              <w:rPr>
                <w:rFonts w:hint="eastAsia" w:ascii="仿宋" w:hAnsi="仿宋" w:eastAsia="仿宋" w:cs="仿宋"/>
                <w:color w:val="000000"/>
                <w:kern w:val="0"/>
                <w:sz w:val="20"/>
                <w:szCs w:val="20"/>
                <w:highlight w:val="none"/>
              </w:rPr>
            </w:pPr>
            <w:r>
              <w:rPr>
                <w:rFonts w:hint="eastAsia" w:ascii="仿宋" w:hAnsi="仿宋" w:eastAsia="仿宋" w:cs="仿宋"/>
                <w:kern w:val="0"/>
                <w:sz w:val="20"/>
                <w:szCs w:val="20"/>
                <w:highlight w:val="none"/>
                <w:lang w:val="en-US" w:eastAsia="zh-CN"/>
              </w:rPr>
              <w:t>三档，</w:t>
            </w:r>
            <w:r>
              <w:rPr>
                <w:rFonts w:hint="eastAsia" w:ascii="仿宋" w:hAnsi="仿宋" w:eastAsia="仿宋" w:cs="仿宋"/>
                <w:kern w:val="0"/>
                <w:sz w:val="20"/>
                <w:szCs w:val="20"/>
                <w:highlight w:val="none"/>
              </w:rPr>
              <w:t>培训方案有欠缺的</w:t>
            </w:r>
            <w:r>
              <w:rPr>
                <w:rFonts w:hint="eastAsia" w:ascii="仿宋" w:hAnsi="仿宋" w:eastAsia="仿宋" w:cs="仿宋"/>
                <w:color w:val="000000"/>
                <w:kern w:val="0"/>
                <w:sz w:val="20"/>
                <w:szCs w:val="20"/>
                <w:highlight w:val="none"/>
              </w:rPr>
              <w:t>得</w:t>
            </w:r>
            <w:r>
              <w:rPr>
                <w:rFonts w:hint="eastAsia" w:ascii="仿宋" w:hAnsi="仿宋" w:eastAsia="仿宋" w:cs="仿宋"/>
                <w:color w:val="000000"/>
                <w:kern w:val="0"/>
                <w:sz w:val="20"/>
                <w:szCs w:val="20"/>
                <w:highlight w:val="none"/>
                <w:lang w:val="en-US" w:eastAsia="zh-CN"/>
              </w:rPr>
              <w:t>10</w:t>
            </w:r>
            <w:r>
              <w:rPr>
                <w:rFonts w:hint="eastAsia" w:ascii="仿宋" w:hAnsi="仿宋" w:eastAsia="仿宋" w:cs="仿宋"/>
                <w:color w:val="000000"/>
                <w:kern w:val="0"/>
                <w:sz w:val="20"/>
                <w:szCs w:val="20"/>
                <w:highlight w:val="none"/>
              </w:rPr>
              <w:t>分；</w:t>
            </w:r>
          </w:p>
          <w:p>
            <w:pPr>
              <w:adjustRightInd w:val="0"/>
              <w:snapToGrid w:val="0"/>
              <w:jc w:val="left"/>
              <w:rPr>
                <w:rFonts w:hint="eastAsia" w:ascii="仿宋" w:hAnsi="仿宋" w:eastAsia="仿宋" w:cs="仿宋"/>
                <w:color w:val="FF0000"/>
                <w:sz w:val="20"/>
                <w:szCs w:val="20"/>
                <w:highlight w:val="none"/>
              </w:rPr>
            </w:pPr>
            <w:r>
              <w:rPr>
                <w:rFonts w:hint="eastAsia" w:ascii="仿宋" w:hAnsi="仿宋" w:eastAsia="仿宋" w:cs="仿宋"/>
                <w:kern w:val="0"/>
                <w:sz w:val="20"/>
                <w:szCs w:val="20"/>
                <w:highlight w:val="none"/>
              </w:rPr>
              <w:t>培训方案不能满足采购需求的</w:t>
            </w:r>
            <w:r>
              <w:rPr>
                <w:rFonts w:hint="eastAsia" w:ascii="仿宋" w:hAnsi="仿宋" w:eastAsia="仿宋" w:cs="仿宋"/>
                <w:kern w:val="0"/>
                <w:sz w:val="20"/>
                <w:szCs w:val="20"/>
                <w:highlight w:val="none"/>
                <w:lang w:val="en-US" w:eastAsia="zh-CN"/>
              </w:rPr>
              <w:t>得0分</w:t>
            </w:r>
            <w:r>
              <w:rPr>
                <w:rFonts w:hint="eastAsia" w:ascii="仿宋" w:hAnsi="仿宋" w:eastAsia="仿宋" w:cs="仿宋"/>
                <w:kern w:val="0"/>
                <w:sz w:val="20"/>
                <w:szCs w:val="20"/>
                <w:highlight w:val="none"/>
              </w:rPr>
              <w:t>。</w:t>
            </w:r>
          </w:p>
        </w:tc>
        <w:tc>
          <w:tcPr>
            <w:tcW w:w="1266" w:type="pct"/>
            <w:vMerge w:val="continue"/>
            <w:noWrap w:val="0"/>
            <w:vAlign w:val="center"/>
          </w:tcPr>
          <w:p>
            <w:pPr>
              <w:adjustRightInd w:val="0"/>
              <w:snapToGrid w:val="0"/>
              <w:jc w:val="left"/>
              <w:rPr>
                <w:rFonts w:hint="eastAsia" w:ascii="仿宋" w:hAnsi="仿宋" w:eastAsia="仿宋" w:cs="仿宋"/>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 w:type="pct"/>
            <w:vMerge w:val="restart"/>
            <w:noWrap w:val="0"/>
            <w:vAlign w:val="center"/>
          </w:tcPr>
          <w:p>
            <w:pPr>
              <w:adjustRightInd w:val="0"/>
              <w:snapToGrid w:val="0"/>
              <w:jc w:val="center"/>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3</w:t>
            </w:r>
          </w:p>
        </w:tc>
        <w:tc>
          <w:tcPr>
            <w:tcW w:w="616" w:type="pct"/>
            <w:vMerge w:val="restart"/>
            <w:noWrap w:val="0"/>
            <w:vAlign w:val="center"/>
          </w:tcPr>
          <w:p>
            <w:pPr>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商务部分</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rPr>
              <w:t>（4</w:t>
            </w:r>
            <w:r>
              <w:rPr>
                <w:rFonts w:hint="eastAsia" w:ascii="仿宋" w:hAnsi="仿宋" w:eastAsia="仿宋" w:cs="仿宋"/>
                <w:color w:val="000000"/>
                <w:sz w:val="20"/>
                <w:szCs w:val="20"/>
                <w:lang w:val="en-US" w:eastAsia="zh-CN"/>
              </w:rPr>
              <w:t>0</w:t>
            </w:r>
            <w:r>
              <w:rPr>
                <w:rFonts w:hint="eastAsia" w:ascii="仿宋" w:hAnsi="仿宋" w:eastAsia="仿宋" w:cs="仿宋"/>
                <w:color w:val="000000"/>
                <w:sz w:val="20"/>
                <w:szCs w:val="20"/>
              </w:rPr>
              <w:t>%）</w:t>
            </w:r>
          </w:p>
        </w:tc>
        <w:tc>
          <w:tcPr>
            <w:tcW w:w="389" w:type="pct"/>
            <w:noWrap w:val="0"/>
            <w:vAlign w:val="center"/>
          </w:tcPr>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sz w:val="20"/>
                <w:szCs w:val="20"/>
              </w:rPr>
              <w:t>实施经验（10分）</w:t>
            </w:r>
          </w:p>
        </w:tc>
        <w:tc>
          <w:tcPr>
            <w:tcW w:w="2392" w:type="pct"/>
            <w:noWrap w:val="0"/>
            <w:vAlign w:val="center"/>
          </w:tcPr>
          <w:p>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实施经验：2019年以来曾指导的项目获得</w:t>
            </w:r>
            <w:r>
              <w:rPr>
                <w:rFonts w:hint="eastAsia" w:ascii="宋体" w:hAnsi="宋体" w:eastAsia="宋体" w:cs="宋体"/>
                <w:i w:val="0"/>
                <w:iCs w:val="0"/>
                <w:color w:val="000000"/>
                <w:kern w:val="0"/>
                <w:sz w:val="20"/>
                <w:szCs w:val="20"/>
                <w:u w:val="none"/>
                <w:lang w:val="en-US" w:eastAsia="zh-CN" w:bidi="ar"/>
              </w:rPr>
              <w:t>“互联网+”大学生创新创业大赛</w:t>
            </w:r>
            <w:r>
              <w:rPr>
                <w:rFonts w:hint="eastAsia" w:ascii="仿宋" w:hAnsi="仿宋" w:eastAsia="仿宋" w:cs="仿宋"/>
                <w:sz w:val="20"/>
                <w:szCs w:val="20"/>
              </w:rPr>
              <w:t>” “创青春”国家级奖项：</w:t>
            </w:r>
          </w:p>
          <w:p>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每所高校得1个国家级金奖的得5分，每所高校得2个国家级金奖的得10分，</w:t>
            </w:r>
          </w:p>
          <w:p>
            <w:pPr>
              <w:adjustRightInd w:val="0"/>
              <w:snapToGrid w:val="0"/>
              <w:jc w:val="left"/>
              <w:rPr>
                <w:rFonts w:hint="eastAsia" w:ascii="仿宋" w:hAnsi="仿宋" w:eastAsia="仿宋" w:cs="仿宋"/>
                <w:kern w:val="0"/>
                <w:sz w:val="20"/>
                <w:szCs w:val="20"/>
                <w:highlight w:val="none"/>
              </w:rPr>
            </w:pPr>
            <w:r>
              <w:rPr>
                <w:rFonts w:hint="eastAsia" w:ascii="仿宋" w:hAnsi="仿宋" w:eastAsia="仿宋" w:cs="仿宋"/>
                <w:sz w:val="20"/>
                <w:szCs w:val="20"/>
              </w:rPr>
              <w:t>证明材料要求：提供高校相关部门证明材料及现场照片。</w:t>
            </w:r>
          </w:p>
        </w:tc>
        <w:tc>
          <w:tcPr>
            <w:tcW w:w="1266" w:type="pct"/>
            <w:vMerge w:val="restart"/>
            <w:noWrap w:val="0"/>
            <w:vAlign w:val="center"/>
          </w:tcPr>
          <w:p>
            <w:pPr>
              <w:adjustRightInd w:val="0"/>
              <w:snapToGrid w:val="0"/>
              <w:jc w:val="left"/>
              <w:rPr>
                <w:rFonts w:hint="eastAsia" w:ascii="仿宋" w:hAnsi="仿宋" w:eastAsia="仿宋" w:cs="仿宋"/>
                <w:color w:val="000000"/>
                <w:sz w:val="20"/>
                <w:szCs w:val="20"/>
                <w:highlight w:val="none"/>
              </w:rPr>
            </w:pPr>
            <w:r>
              <w:rPr>
                <w:rFonts w:hint="eastAsia" w:ascii="仿宋" w:hAnsi="仿宋" w:eastAsia="仿宋" w:cs="仿宋"/>
                <w:color w:val="000000"/>
                <w:sz w:val="20"/>
                <w:szCs w:val="20"/>
              </w:rPr>
              <w:t>备注：同一合作项目不得重复得分。未按要求提供对应材料的不得分。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616"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389" w:type="pct"/>
            <w:noWrap w:val="0"/>
            <w:vAlign w:val="center"/>
          </w:tcPr>
          <w:p>
            <w:pPr>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业绩要求</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rPr>
              <w:t>（10分）</w:t>
            </w:r>
          </w:p>
        </w:tc>
        <w:tc>
          <w:tcPr>
            <w:tcW w:w="2392" w:type="pct"/>
            <w:noWrap w:val="0"/>
            <w:vAlign w:val="center"/>
          </w:tcPr>
          <w:p>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根据投标人提供本公司2019年以来</w:t>
            </w:r>
            <w:r>
              <w:rPr>
                <w:rFonts w:hint="eastAsia" w:ascii="仿宋" w:hAnsi="仿宋" w:eastAsia="仿宋" w:cs="仿宋"/>
                <w:sz w:val="20"/>
                <w:szCs w:val="20"/>
                <w:lang w:val="en-US" w:eastAsia="zh-CN"/>
              </w:rPr>
              <w:t>四</w:t>
            </w:r>
            <w:r>
              <w:rPr>
                <w:rFonts w:hint="eastAsia" w:ascii="仿宋" w:hAnsi="仿宋" w:eastAsia="仿宋" w:cs="仿宋"/>
                <w:sz w:val="20"/>
                <w:szCs w:val="20"/>
              </w:rPr>
              <w:t>十万元以上的高校创新创业大赛相关业绩，每提供一项得 5 分，</w:t>
            </w:r>
            <w:r>
              <w:rPr>
                <w:rFonts w:hint="eastAsia" w:ascii="仿宋" w:hAnsi="仿宋" w:eastAsia="仿宋" w:cs="仿宋"/>
                <w:sz w:val="20"/>
                <w:szCs w:val="20"/>
                <w:lang w:val="en-US" w:eastAsia="zh-CN"/>
              </w:rPr>
              <w:t>最高得</w:t>
            </w:r>
            <w:r>
              <w:rPr>
                <w:rFonts w:hint="eastAsia" w:ascii="仿宋" w:hAnsi="仿宋" w:eastAsia="仿宋" w:cs="仿宋"/>
                <w:sz w:val="20"/>
                <w:szCs w:val="20"/>
              </w:rPr>
              <w:t>10 分。</w:t>
            </w:r>
          </w:p>
          <w:p>
            <w:pPr>
              <w:adjustRightInd w:val="0"/>
              <w:snapToGrid w:val="0"/>
              <w:jc w:val="left"/>
              <w:rPr>
                <w:rFonts w:hint="eastAsia" w:ascii="仿宋" w:hAnsi="仿宋" w:eastAsia="仿宋" w:cs="仿宋"/>
                <w:kern w:val="0"/>
                <w:sz w:val="20"/>
                <w:szCs w:val="20"/>
                <w:highlight w:val="none"/>
              </w:rPr>
            </w:pPr>
            <w:r>
              <w:rPr>
                <w:rFonts w:hint="eastAsia" w:ascii="仿宋" w:hAnsi="仿宋" w:eastAsia="仿宋" w:cs="仿宋"/>
                <w:sz w:val="20"/>
                <w:szCs w:val="20"/>
              </w:rPr>
              <w:t>（以提供中标通知书或合同原件为准，复印件加盖公章）没有不得分。</w:t>
            </w:r>
          </w:p>
        </w:tc>
        <w:tc>
          <w:tcPr>
            <w:tcW w:w="1266" w:type="pct"/>
            <w:vMerge w:val="continue"/>
            <w:noWrap w:val="0"/>
            <w:vAlign w:val="center"/>
          </w:tcPr>
          <w:p>
            <w:pPr>
              <w:adjustRightInd w:val="0"/>
              <w:snapToGrid w:val="0"/>
              <w:jc w:val="left"/>
              <w:rPr>
                <w:rFonts w:hint="eastAsia" w:ascii="仿宋" w:hAnsi="仿宋" w:eastAsia="仿宋" w:cs="仿宋"/>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616" w:type="pct"/>
            <w:vMerge w:val="continue"/>
            <w:noWrap w:val="0"/>
            <w:vAlign w:val="center"/>
          </w:tcPr>
          <w:p>
            <w:pPr>
              <w:adjustRightInd w:val="0"/>
              <w:snapToGrid w:val="0"/>
              <w:jc w:val="center"/>
              <w:rPr>
                <w:rFonts w:hint="eastAsia" w:ascii="仿宋" w:hAnsi="仿宋" w:eastAsia="仿宋" w:cs="仿宋"/>
                <w:color w:val="000000"/>
                <w:sz w:val="20"/>
                <w:szCs w:val="20"/>
                <w:highlight w:val="none"/>
              </w:rPr>
            </w:pPr>
          </w:p>
        </w:tc>
        <w:tc>
          <w:tcPr>
            <w:tcW w:w="389" w:type="pct"/>
            <w:noWrap w:val="0"/>
            <w:vAlign w:val="center"/>
          </w:tcPr>
          <w:p>
            <w:pPr>
              <w:adjustRightInd w:val="0"/>
              <w:snapToGrid w:val="0"/>
              <w:jc w:val="center"/>
              <w:rPr>
                <w:rFonts w:hint="eastAsia" w:ascii="仿宋" w:hAnsi="仿宋" w:eastAsia="仿宋" w:cs="仿宋"/>
                <w:color w:val="000000"/>
                <w:sz w:val="20"/>
                <w:szCs w:val="20"/>
              </w:rPr>
            </w:pPr>
            <w:r>
              <w:rPr>
                <w:rFonts w:hint="eastAsia" w:ascii="仿宋" w:hAnsi="仿宋" w:eastAsia="仿宋" w:cs="仿宋"/>
                <w:color w:val="000000"/>
                <w:sz w:val="20"/>
                <w:szCs w:val="20"/>
              </w:rPr>
              <w:t>服务及保障</w:t>
            </w:r>
          </w:p>
          <w:p>
            <w:pPr>
              <w:adjustRightInd w:val="0"/>
              <w:snapToGrid w:val="0"/>
              <w:jc w:val="center"/>
              <w:rPr>
                <w:rFonts w:hint="eastAsia" w:ascii="仿宋" w:hAnsi="仿宋" w:eastAsia="仿宋" w:cs="仿宋"/>
                <w:color w:val="000000"/>
                <w:sz w:val="20"/>
                <w:szCs w:val="20"/>
                <w:highlight w:val="none"/>
              </w:rPr>
            </w:pPr>
            <w:r>
              <w:rPr>
                <w:rFonts w:hint="eastAsia" w:ascii="仿宋" w:hAnsi="仿宋" w:eastAsia="仿宋" w:cs="仿宋"/>
                <w:color w:val="000000"/>
                <w:sz w:val="20"/>
                <w:szCs w:val="20"/>
              </w:rPr>
              <w:t>（</w:t>
            </w:r>
            <w:r>
              <w:rPr>
                <w:rFonts w:hint="eastAsia" w:ascii="仿宋" w:hAnsi="仿宋" w:eastAsia="仿宋" w:cs="仿宋"/>
                <w:color w:val="000000"/>
                <w:sz w:val="20"/>
                <w:szCs w:val="20"/>
                <w:lang w:val="en-US" w:eastAsia="zh-CN"/>
              </w:rPr>
              <w:t>20</w:t>
            </w:r>
            <w:r>
              <w:rPr>
                <w:rFonts w:hint="eastAsia" w:ascii="仿宋" w:hAnsi="仿宋" w:eastAsia="仿宋" w:cs="仿宋"/>
                <w:color w:val="000000"/>
                <w:sz w:val="20"/>
                <w:szCs w:val="20"/>
              </w:rPr>
              <w:t>分）</w:t>
            </w:r>
          </w:p>
        </w:tc>
        <w:tc>
          <w:tcPr>
            <w:tcW w:w="2392" w:type="pct"/>
            <w:noWrap w:val="0"/>
            <w:vAlign w:val="center"/>
          </w:tcPr>
          <w:p>
            <w:pPr>
              <w:adjustRightInd w:val="0"/>
              <w:snapToGrid w:val="0"/>
              <w:jc w:val="left"/>
              <w:rPr>
                <w:rFonts w:hint="eastAsia" w:ascii="仿宋" w:hAnsi="仿宋" w:eastAsia="仿宋" w:cs="仿宋"/>
                <w:sz w:val="20"/>
                <w:szCs w:val="20"/>
              </w:rPr>
            </w:pPr>
            <w:r>
              <w:rPr>
                <w:rFonts w:hint="eastAsia" w:ascii="仿宋" w:hAnsi="仿宋" w:eastAsia="仿宋" w:cs="仿宋"/>
                <w:sz w:val="20"/>
                <w:szCs w:val="20"/>
              </w:rPr>
              <w:t>1、售后服务承诺措施具体完善、切实可行，完全满足项目要求（优得</w:t>
            </w:r>
            <w:r>
              <w:rPr>
                <w:rFonts w:hint="eastAsia" w:ascii="仿宋" w:hAnsi="仿宋" w:eastAsia="仿宋" w:cs="仿宋"/>
                <w:sz w:val="20"/>
                <w:szCs w:val="20"/>
                <w:lang w:val="en-US" w:eastAsia="zh-CN"/>
              </w:rPr>
              <w:t>20</w:t>
            </w:r>
            <w:r>
              <w:rPr>
                <w:rFonts w:hint="eastAsia" w:ascii="仿宋" w:hAnsi="仿宋" w:eastAsia="仿宋" w:cs="仿宋"/>
                <w:sz w:val="20"/>
                <w:szCs w:val="20"/>
              </w:rPr>
              <w:t xml:space="preserve"> 分，良得 </w:t>
            </w:r>
            <w:r>
              <w:rPr>
                <w:rFonts w:hint="eastAsia" w:ascii="仿宋" w:hAnsi="仿宋" w:eastAsia="仿宋" w:cs="仿宋"/>
                <w:sz w:val="20"/>
                <w:szCs w:val="20"/>
                <w:lang w:val="en-US" w:eastAsia="zh-CN"/>
              </w:rPr>
              <w:t>15</w:t>
            </w:r>
            <w:r>
              <w:rPr>
                <w:rFonts w:hint="eastAsia" w:ascii="仿宋" w:hAnsi="仿宋" w:eastAsia="仿宋" w:cs="仿宋"/>
                <w:sz w:val="20"/>
                <w:szCs w:val="20"/>
              </w:rPr>
              <w:t>分，一般得</w:t>
            </w:r>
            <w:r>
              <w:rPr>
                <w:rFonts w:hint="eastAsia" w:ascii="仿宋" w:hAnsi="仿宋" w:eastAsia="仿宋" w:cs="仿宋"/>
                <w:sz w:val="20"/>
                <w:szCs w:val="20"/>
                <w:lang w:val="en-US" w:eastAsia="zh-CN"/>
              </w:rPr>
              <w:t>10</w:t>
            </w:r>
            <w:r>
              <w:rPr>
                <w:rFonts w:hint="eastAsia" w:ascii="仿宋" w:hAnsi="仿宋" w:eastAsia="仿宋" w:cs="仿宋"/>
                <w:sz w:val="20"/>
                <w:szCs w:val="20"/>
              </w:rPr>
              <w:t>分，没有</w:t>
            </w:r>
            <w:r>
              <w:rPr>
                <w:rFonts w:hint="eastAsia" w:ascii="仿宋" w:hAnsi="仿宋" w:eastAsia="仿宋" w:cs="仿宋"/>
                <w:sz w:val="20"/>
                <w:szCs w:val="20"/>
                <w:lang w:val="en-US" w:eastAsia="zh-CN"/>
              </w:rPr>
              <w:t>得0分</w:t>
            </w:r>
            <w:r>
              <w:rPr>
                <w:rFonts w:hint="eastAsia" w:ascii="仿宋" w:hAnsi="仿宋" w:eastAsia="仿宋" w:cs="仿宋"/>
                <w:sz w:val="20"/>
                <w:szCs w:val="20"/>
              </w:rPr>
              <w:t xml:space="preserve">）。（总计 </w:t>
            </w:r>
            <w:r>
              <w:rPr>
                <w:rFonts w:hint="eastAsia" w:ascii="仿宋" w:hAnsi="仿宋" w:eastAsia="仿宋" w:cs="仿宋"/>
                <w:sz w:val="20"/>
                <w:szCs w:val="20"/>
                <w:lang w:val="en-US" w:eastAsia="zh-CN"/>
              </w:rPr>
              <w:t>20</w:t>
            </w:r>
            <w:r>
              <w:rPr>
                <w:rFonts w:hint="eastAsia" w:ascii="仿宋" w:hAnsi="仿宋" w:eastAsia="仿宋" w:cs="仿宋"/>
                <w:sz w:val="20"/>
                <w:szCs w:val="20"/>
              </w:rPr>
              <w:t>分）</w:t>
            </w:r>
          </w:p>
          <w:p>
            <w:pPr>
              <w:adjustRightInd w:val="0"/>
              <w:snapToGrid w:val="0"/>
              <w:jc w:val="left"/>
              <w:rPr>
                <w:rFonts w:hint="eastAsia" w:ascii="仿宋" w:hAnsi="仿宋" w:eastAsia="仿宋" w:cs="仿宋"/>
                <w:kern w:val="0"/>
                <w:sz w:val="20"/>
                <w:szCs w:val="20"/>
                <w:highlight w:val="none"/>
              </w:rPr>
            </w:pPr>
          </w:p>
        </w:tc>
        <w:tc>
          <w:tcPr>
            <w:tcW w:w="1266" w:type="pct"/>
            <w:vMerge w:val="continue"/>
            <w:noWrap w:val="0"/>
            <w:vAlign w:val="center"/>
          </w:tcPr>
          <w:p>
            <w:pPr>
              <w:adjustRightInd w:val="0"/>
              <w:snapToGrid w:val="0"/>
              <w:jc w:val="left"/>
              <w:rPr>
                <w:rFonts w:hint="eastAsia" w:ascii="仿宋" w:hAnsi="仿宋" w:eastAsia="仿宋" w:cs="仿宋"/>
                <w:color w:val="000000"/>
                <w:sz w:val="20"/>
                <w:szCs w:val="20"/>
                <w:highlight w:val="none"/>
              </w:rPr>
            </w:pPr>
          </w:p>
        </w:tc>
      </w:tr>
    </w:tbl>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1.关于小微企业：</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按&lt;关于印发《政府采购促进中小企业发展暂行办法》的通知</w:t>
      </w:r>
      <w:r>
        <w:rPr>
          <w:rFonts w:hint="eastAsia" w:ascii="仿宋" w:hAnsi="仿宋" w:eastAsia="仿宋" w:cs="仿宋"/>
          <w:sz w:val="24"/>
          <w:szCs w:val="24"/>
          <w:lang w:eastAsia="zh-CN"/>
        </w:rPr>
        <w:t>〉</w:t>
      </w:r>
      <w:r>
        <w:rPr>
          <w:rFonts w:hint="eastAsia" w:ascii="仿宋" w:hAnsi="仿宋" w:eastAsia="仿宋" w:cs="仿宋"/>
          <w:sz w:val="24"/>
          <w:szCs w:val="24"/>
        </w:rPr>
        <w:t>（财库〔2011〕181号）之规定，中小企业的标准为：</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1.1提供本企业制造的货物、承担的工程或者服务，或者提供其他中小企业制造的货物，不包括提供或使用大型企业注册商标的货物。</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1.3小型、微型企业提供有中型企业制造的货物的，视同为中型企业；小型、微型、中型企业提供有大型企业制造的货物的，视同为大型企业。</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2.依照</w:t>
      </w:r>
      <w:r>
        <w:rPr>
          <w:rFonts w:hint="eastAsia" w:ascii="仿宋" w:hAnsi="仿宋" w:eastAsia="仿宋" w:cs="仿宋"/>
          <w:sz w:val="24"/>
          <w:szCs w:val="24"/>
          <w:lang w:eastAsia="zh-CN"/>
        </w:rPr>
        <w:t>〈</w:t>
      </w:r>
      <w:r>
        <w:rPr>
          <w:rFonts w:hint="eastAsia" w:ascii="仿宋" w:hAnsi="仿宋" w:eastAsia="仿宋" w:cs="仿宋"/>
          <w:sz w:val="24"/>
          <w:szCs w:val="24"/>
        </w:rPr>
        <w:t>财政部、司法部关于政府采购支持监狱企业发展有关问题的通知</w:t>
      </w:r>
      <w:r>
        <w:rPr>
          <w:rFonts w:hint="eastAsia" w:ascii="仿宋" w:hAnsi="仿宋" w:eastAsia="仿宋" w:cs="仿宋"/>
          <w:sz w:val="24"/>
          <w:szCs w:val="24"/>
          <w:lang w:eastAsia="zh-CN"/>
        </w:rPr>
        <w:t>〉</w:t>
      </w:r>
      <w:r>
        <w:rPr>
          <w:rFonts w:hint="eastAsia" w:ascii="仿宋" w:hAnsi="仿宋" w:eastAsia="仿宋" w:cs="仿宋"/>
          <w:sz w:val="24"/>
          <w:szCs w:val="24"/>
        </w:rPr>
        <w:t>（财库〔2014〕68号）之规定，监狱企业应当符合以下条件：</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2. 2监狱企业参加政府采购活动时，视同小型、微型企业，应当提供由省级以上监狱管理局、戒毒管理局（含新疆生产建设兵团）出具的属于监狱企业的证明文件。</w:t>
      </w:r>
    </w:p>
    <w:p>
      <w:pPr>
        <w:pStyle w:val="5"/>
        <w:spacing w:before="0" w:after="0" w:line="400" w:lineRule="exact"/>
        <w:rPr>
          <w:rFonts w:ascii="仿宋" w:hAnsi="仿宋" w:eastAsia="仿宋" w:cs="仿宋"/>
          <w:sz w:val="24"/>
          <w:szCs w:val="24"/>
        </w:rPr>
      </w:pPr>
      <w:bookmarkStart w:id="74" w:name="_Toc56502275"/>
      <w:bookmarkStart w:id="75" w:name="_Toc20898"/>
      <w:bookmarkStart w:id="76" w:name="_Toc466546922"/>
      <w:bookmarkStart w:id="77" w:name="_Toc4186"/>
      <w:r>
        <w:rPr>
          <w:rFonts w:hint="eastAsia" w:ascii="仿宋" w:hAnsi="仿宋" w:eastAsia="仿宋" w:cs="仿宋"/>
          <w:sz w:val="24"/>
          <w:szCs w:val="24"/>
        </w:rPr>
        <w:t>三、无效响应</w:t>
      </w:r>
      <w:bookmarkEnd w:id="74"/>
      <w:bookmarkEnd w:id="75"/>
      <w:bookmarkEnd w:id="76"/>
      <w:bookmarkEnd w:id="77"/>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供应商发生以下条款情况之一者，视为无效响应，其响应文件将被拒绝：</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（一）供应商不符合规定的基本资格条件或特定资格条件的；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（二）供应商的法定代表人或其授权代表未参加磋商；</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（三）供应商未按照竞争性磋商文件的要求缴纳磋商保证金；</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（四）供应商所提交的响应文件不按第七篇“响应文件编制要求”规定签字、盖章；</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（五）供应商的最后报价超过采购预算的；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（八）为采购项目提供整体设计、规范编制或者项目管理、监理、检测等服务的供应商，再参加该采购项目的其他采购活动；</w:t>
      </w:r>
    </w:p>
    <w:p>
      <w:pPr>
        <w:snapToGrid w:val="0"/>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（九）供应商的服务期、质量保证期及磋商有效期不满足竞争性磋商文件要求的；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（十）供应商响应文件内容有与国家现行法律法规相违背的内容，或附有采购人无法接受的条件。</w:t>
      </w:r>
    </w:p>
    <w:p>
      <w:pPr>
        <w:pStyle w:val="5"/>
        <w:spacing w:before="0" w:after="0" w:line="400" w:lineRule="exact"/>
        <w:rPr>
          <w:rFonts w:ascii="仿宋" w:hAnsi="仿宋" w:eastAsia="仿宋" w:cs="仿宋"/>
          <w:sz w:val="24"/>
          <w:szCs w:val="24"/>
        </w:rPr>
      </w:pPr>
      <w:bookmarkStart w:id="78" w:name="_Toc56502276"/>
      <w:bookmarkStart w:id="79" w:name="_Toc20142"/>
      <w:bookmarkStart w:id="80" w:name="_Toc19519"/>
      <w:bookmarkStart w:id="81" w:name="_Toc466546923"/>
      <w:r>
        <w:rPr>
          <w:rFonts w:hint="eastAsia" w:ascii="仿宋" w:hAnsi="仿宋" w:eastAsia="仿宋" w:cs="仿宋"/>
          <w:sz w:val="24"/>
          <w:szCs w:val="24"/>
        </w:rPr>
        <w:t>四、采购终止</w:t>
      </w:r>
      <w:bookmarkEnd w:id="78"/>
      <w:bookmarkEnd w:id="79"/>
      <w:bookmarkEnd w:id="80"/>
      <w:bookmarkEnd w:id="81"/>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出现下列情形之一的，采购人应当终止竞争性磋商采购活动，发布项目终止公告并说明原因，重新开展采购活动：</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（一）因情况变化，不再符合规定的竞争性磋商采购方式适用情形的；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（二）出现影响采购公正的违法、违规行为的；</w:t>
      </w:r>
    </w:p>
    <w:p>
      <w:pPr>
        <w:snapToGrid w:val="0"/>
        <w:spacing w:line="400" w:lineRule="exact"/>
        <w:ind w:firstLine="465"/>
        <w:rPr>
          <w:rFonts w:ascii="仿宋" w:hAnsi="仿宋" w:eastAsia="仿宋" w:cs="仿宋"/>
          <w:sz w:val="24"/>
          <w:szCs w:val="24"/>
        </w:rPr>
      </w:pPr>
      <w:r>
        <w:rPr>
          <w:rFonts w:hint="eastAsia" w:ascii="仿宋" w:hAnsi="仿宋" w:eastAsia="仿宋" w:cs="仿宋"/>
          <w:sz w:val="24"/>
          <w:szCs w:val="24"/>
        </w:rPr>
        <w:t>（三）在采购过程中符合要求的供应商或者报价未超过采购预算的供应商不足3家的，但《政府采购竞争性磋商采购方式管理暂行办法》第二十一条第三款规定的情形</w:t>
      </w:r>
      <w:r>
        <w:rPr>
          <w:rFonts w:hint="eastAsia" w:ascii="仿宋" w:hAnsi="仿宋" w:eastAsia="仿宋" w:cs="仿宋"/>
          <w:sz w:val="24"/>
          <w:szCs w:val="24"/>
          <w:lang w:eastAsia="zh-CN"/>
        </w:rPr>
        <w:t>，</w:t>
      </w:r>
      <w:r>
        <w:rPr>
          <w:rFonts w:hint="eastAsia" w:ascii="仿宋" w:hAnsi="仿宋" w:eastAsia="仿宋" w:cs="仿宋"/>
          <w:sz w:val="24"/>
          <w:szCs w:val="24"/>
        </w:rPr>
        <w:t>以及财政部财库[2015]124号文件规定的情形除外。</w:t>
      </w:r>
    </w:p>
    <w:p>
      <w:pPr>
        <w:spacing w:line="360" w:lineRule="auto"/>
        <w:ind w:firstLine="480" w:firstLineChars="200"/>
        <w:rPr>
          <w:rFonts w:ascii="仿宋" w:hAnsi="仿宋" w:eastAsia="仿宋" w:cs="仿宋"/>
          <w:sz w:val="24"/>
          <w:szCs w:val="24"/>
        </w:rPr>
        <w:sectPr>
          <w:pgSz w:w="11907" w:h="16840"/>
          <w:pgMar w:top="1134" w:right="1191" w:bottom="1134" w:left="1304" w:header="964" w:footer="992" w:gutter="0"/>
          <w:pgNumType w:fmt="numberInDash"/>
          <w:cols w:space="720" w:num="1"/>
          <w:docGrid w:linePitch="312" w:charSpace="0"/>
        </w:sectPr>
      </w:pPr>
    </w:p>
    <w:p>
      <w:pPr>
        <w:pStyle w:val="4"/>
        <w:jc w:val="center"/>
        <w:rPr>
          <w:rFonts w:ascii="仿宋" w:hAnsi="仿宋" w:eastAsia="仿宋" w:cs="仿宋"/>
          <w:bCs/>
          <w:szCs w:val="30"/>
        </w:rPr>
      </w:pPr>
      <w:bookmarkStart w:id="82" w:name="_Toc56502277"/>
      <w:bookmarkStart w:id="83" w:name="_Toc102227313"/>
      <w:r>
        <w:rPr>
          <w:rFonts w:hint="eastAsia" w:ascii="仿宋" w:hAnsi="仿宋" w:eastAsia="仿宋" w:cs="仿宋"/>
          <w:bCs/>
          <w:sz w:val="36"/>
          <w:szCs w:val="30"/>
        </w:rPr>
        <w:t>第五篇  供应商须知</w:t>
      </w:r>
      <w:bookmarkEnd w:id="82"/>
      <w:bookmarkEnd w:id="83"/>
    </w:p>
    <w:p>
      <w:pPr>
        <w:pStyle w:val="5"/>
        <w:spacing w:before="0" w:after="0" w:line="360" w:lineRule="auto"/>
        <w:rPr>
          <w:rFonts w:ascii="仿宋" w:hAnsi="仿宋" w:eastAsia="仿宋" w:cs="仿宋"/>
          <w:sz w:val="24"/>
          <w:szCs w:val="24"/>
        </w:rPr>
      </w:pPr>
      <w:bookmarkStart w:id="84" w:name="_Toc342913389"/>
      <w:bookmarkStart w:id="85" w:name="_Toc24192"/>
      <w:bookmarkStart w:id="86" w:name="_Toc56502278"/>
      <w:r>
        <w:rPr>
          <w:rFonts w:hint="eastAsia" w:ascii="仿宋" w:hAnsi="仿宋" w:eastAsia="仿宋" w:cs="仿宋"/>
          <w:sz w:val="24"/>
          <w:szCs w:val="24"/>
        </w:rPr>
        <w:t>一、磋商费用</w:t>
      </w:r>
      <w:bookmarkEnd w:id="84"/>
      <w:bookmarkEnd w:id="85"/>
      <w:bookmarkEnd w:id="86"/>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参与磋商的供应商应承担其编制响应文件与递交响应文件所涉及的一切费用，不论磋商结果如何，采购人在任何情况下无义务也无责任承担这些费用。</w:t>
      </w:r>
    </w:p>
    <w:p>
      <w:pPr>
        <w:pStyle w:val="5"/>
        <w:tabs>
          <w:tab w:val="left" w:pos="2640"/>
        </w:tabs>
        <w:spacing w:before="0" w:after="0" w:line="360" w:lineRule="auto"/>
        <w:rPr>
          <w:rFonts w:ascii="仿宋" w:hAnsi="仿宋" w:eastAsia="仿宋" w:cs="仿宋"/>
          <w:sz w:val="24"/>
          <w:szCs w:val="24"/>
        </w:rPr>
      </w:pPr>
      <w:bookmarkStart w:id="87" w:name="_Toc56502279"/>
      <w:bookmarkStart w:id="88" w:name="_Toc421"/>
      <w:bookmarkStart w:id="89" w:name="_Toc342913391"/>
      <w:r>
        <w:rPr>
          <w:rFonts w:hint="eastAsia" w:ascii="仿宋" w:hAnsi="仿宋" w:eastAsia="仿宋" w:cs="仿宋"/>
          <w:sz w:val="24"/>
          <w:szCs w:val="24"/>
        </w:rPr>
        <w:t>二、竞争性磋商文件</w:t>
      </w:r>
      <w:bookmarkEnd w:id="87"/>
      <w:bookmarkEnd w:id="88"/>
      <w:bookmarkEnd w:id="89"/>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（一）竞争性磋商文件由采购邀请书、项目服务需求、供应商须知、项目商务需求、磋商程序及方法、评审标准、无效响应和采购终止、供应商须知</w:t>
      </w:r>
      <w:r>
        <w:rPr>
          <w:rFonts w:hint="eastAsia" w:ascii="仿宋" w:hAnsi="仿宋" w:eastAsia="仿宋" w:cs="仿宋"/>
          <w:b/>
          <w:sz w:val="24"/>
          <w:szCs w:val="24"/>
        </w:rPr>
        <w:t>、</w:t>
      </w:r>
      <w:r>
        <w:rPr>
          <w:rFonts w:hint="eastAsia" w:ascii="仿宋" w:hAnsi="仿宋" w:eastAsia="仿宋" w:cs="仿宋"/>
          <w:sz w:val="24"/>
          <w:szCs w:val="24"/>
        </w:rPr>
        <w:t>政府采购合同</w:t>
      </w:r>
      <w:r>
        <w:rPr>
          <w:rFonts w:hint="eastAsia" w:ascii="仿宋" w:hAnsi="仿宋" w:eastAsia="仿宋" w:cs="仿宋"/>
          <w:b/>
          <w:sz w:val="24"/>
          <w:szCs w:val="24"/>
        </w:rPr>
        <w:t>、</w:t>
      </w:r>
      <w:r>
        <w:rPr>
          <w:rFonts w:hint="eastAsia" w:ascii="仿宋" w:hAnsi="仿宋" w:eastAsia="仿宋" w:cs="仿宋"/>
          <w:sz w:val="24"/>
          <w:szCs w:val="24"/>
        </w:rPr>
        <w:t>响应文件编制要求七部分组成。</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（二）采购人所作的一切有效的书面通知、修改及补充，都是竞争性磋商文件不可分割的部分。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（三）竞争性磋商文件的解释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90" w:name="_Toc318166429"/>
      <w:bookmarkStart w:id="91" w:name="_Toc318159160"/>
      <w:bookmarkStart w:id="92" w:name="_Toc318159349"/>
      <w:bookmarkStart w:id="93" w:name="_Toc318159780"/>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（四）本竞争性磋商文件中，磋商小组根据与供应商进行磋商可能实质性变动的内容为竞争性磋商文件第二、三、四篇全部内容。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（五）评审的依据为竞争性磋商文件和响应文件（含有效的书面承诺）。磋商小组判断响应文件对竞争性磋商文件的响应，仅基于响应文件本身而不靠外部证据。</w:t>
      </w:r>
    </w:p>
    <w:bookmarkEnd w:id="90"/>
    <w:bookmarkEnd w:id="91"/>
    <w:bookmarkEnd w:id="92"/>
    <w:bookmarkEnd w:id="93"/>
    <w:p>
      <w:pPr>
        <w:pStyle w:val="5"/>
        <w:spacing w:before="0" w:after="0" w:line="360" w:lineRule="auto"/>
        <w:rPr>
          <w:rFonts w:ascii="仿宋" w:hAnsi="仿宋" w:eastAsia="仿宋" w:cs="仿宋"/>
          <w:sz w:val="24"/>
          <w:szCs w:val="24"/>
        </w:rPr>
      </w:pPr>
      <w:bookmarkStart w:id="94" w:name="_Toc56502280"/>
      <w:bookmarkStart w:id="95" w:name="_Toc102227318"/>
      <w:bookmarkStart w:id="96" w:name="_Toc342913392"/>
      <w:bookmarkStart w:id="97" w:name="_Toc23084"/>
      <w:bookmarkStart w:id="98" w:name="_Toc179714297"/>
      <w:r>
        <w:rPr>
          <w:rFonts w:hint="eastAsia" w:ascii="仿宋" w:hAnsi="仿宋" w:eastAsia="仿宋" w:cs="仿宋"/>
          <w:sz w:val="24"/>
          <w:szCs w:val="24"/>
        </w:rPr>
        <w:t>三、磋商要求</w:t>
      </w:r>
      <w:bookmarkEnd w:id="94"/>
      <w:bookmarkEnd w:id="95"/>
      <w:bookmarkEnd w:id="96"/>
      <w:bookmarkEnd w:id="97"/>
      <w:bookmarkEnd w:id="9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（一）响应文件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2.响应文件组成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响应文件由第七篇“响应文件编制要求”规定的部分和供应商</w:t>
      </w:r>
      <w:r>
        <w:rPr>
          <w:rFonts w:hint="eastAsia" w:ascii="仿宋" w:hAnsi="仿宋" w:eastAsia="仿宋" w:cs="仿宋"/>
          <w:sz w:val="24"/>
          <w:szCs w:val="24"/>
          <w:lang w:eastAsia="zh-CN"/>
        </w:rPr>
        <w:t>所做的</w:t>
      </w:r>
      <w:r>
        <w:rPr>
          <w:rFonts w:hint="eastAsia" w:ascii="仿宋" w:hAnsi="仿宋" w:eastAsia="仿宋" w:cs="仿宋"/>
          <w:sz w:val="24"/>
          <w:szCs w:val="24"/>
        </w:rPr>
        <w:t>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（二）磋商有效期：响应文件及有关承诺文件有效期为提交响应文件截止时间起90天。</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（三）修正错误</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（四）提交响应文件的份数和签署</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响应文件一式四份，其中正本一份，副本两份，电子文档一份（电子文档内容应与纸质文件正本一致，如不一致以纸质文件正本为准。推荐采用光盘或U盘为电子文档载体）；副本可为正本的复印件，应与正本一致，如出现不一致情况以正本为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rPr>
        <w:t>在响应文件正本中，竞争性磋商文件第七篇响应文件编制要求中规定签字、盖章的地方必须按其规定签字、盖章。</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（五）响应文件的递交</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1.响应文件的密封与标记</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1.1响应文件的正本、副本以及电子文档均应密封送达磋商地点，应在封套上注明项目名称、供应商名称。若正本、副本以及电子文档分别进行密封的，还应在封套上注明“正本”、“副本”、“电子文档”字样。</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1.2封套的封口处应加盖供应商公章或由法定代表人授权代表签字。</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2.如果响应文件通过邮寄递交，供应商应将响应文件用内、外两层封套密封。</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2.1内层封套的封装与标记同 “1、”款规定。</w:t>
      </w:r>
    </w:p>
    <w:p>
      <w:pPr>
        <w:pStyle w:val="11"/>
        <w:spacing w:line="360" w:lineRule="auto"/>
        <w:ind w:firstLine="480" w:firstLineChars="200"/>
        <w:rPr>
          <w:rFonts w:ascii="仿宋" w:hAnsi="仿宋" w:eastAsia="仿宋" w:cs="仿宋"/>
          <w:sz w:val="24"/>
        </w:rPr>
      </w:pPr>
      <w:r>
        <w:rPr>
          <w:rFonts w:hint="eastAsia" w:ascii="仿宋" w:hAnsi="仿宋" w:eastAsia="仿宋" w:cs="仿宋"/>
          <w:sz w:val="24"/>
        </w:rPr>
        <w:t>2.2外层封套装入“1、”款所述全部内封资料，并注明项目编号、项目</w:t>
      </w:r>
      <w:r>
        <w:rPr>
          <w:rFonts w:hint="eastAsia" w:ascii="仿宋" w:hAnsi="仿宋" w:eastAsia="仿宋" w:cs="仿宋"/>
          <w:sz w:val="24"/>
          <w:lang w:eastAsia="zh-CN"/>
        </w:rPr>
        <w:t>名称</w:t>
      </w:r>
      <w:r>
        <w:rPr>
          <w:rFonts w:hint="eastAsia" w:ascii="仿宋" w:hAnsi="仿宋" w:eastAsia="仿宋" w:cs="仿宋"/>
          <w:sz w:val="24"/>
        </w:rPr>
        <w:t>及地址。同时应写明供应商的名称、地址，以便将迟交的响应文件原封退还。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3.如果未按上述规定进行密封和标记，采购人对响应文件误投、丢失或提前拆封不负责任。</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（六）供应商参与人员</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各供应商应当派1-2名代表参与谈判，至少1人应为法定代表人或具有法定代表人授权委托书的授权代表（法人或授权代表磋商时应出示身份证原件用以核对）。</w:t>
      </w:r>
    </w:p>
    <w:p>
      <w:pPr>
        <w:pStyle w:val="5"/>
        <w:spacing w:before="0" w:after="0" w:line="360" w:lineRule="auto"/>
        <w:rPr>
          <w:rFonts w:ascii="仿宋" w:hAnsi="仿宋" w:eastAsia="仿宋" w:cs="仿宋"/>
          <w:sz w:val="24"/>
          <w:szCs w:val="24"/>
        </w:rPr>
      </w:pPr>
      <w:bookmarkStart w:id="99" w:name="_Toc5861"/>
      <w:bookmarkStart w:id="100" w:name="_Toc56502281"/>
      <w:r>
        <w:rPr>
          <w:rFonts w:hint="eastAsia" w:ascii="仿宋" w:hAnsi="仿宋" w:eastAsia="仿宋" w:cs="仿宋"/>
          <w:sz w:val="24"/>
          <w:szCs w:val="24"/>
        </w:rPr>
        <w:t>四、成交供应商的确认和变更</w:t>
      </w:r>
      <w:bookmarkEnd w:id="99"/>
      <w:bookmarkEnd w:id="100"/>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（一）成交供应商的确认</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（二）成交供应商的变更</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360" w:lineRule="auto"/>
        <w:rPr>
          <w:rFonts w:ascii="仿宋" w:hAnsi="仿宋" w:eastAsia="仿宋" w:cs="仿宋"/>
          <w:sz w:val="24"/>
          <w:szCs w:val="24"/>
        </w:rPr>
      </w:pPr>
      <w:bookmarkStart w:id="101" w:name="_Toc102227321"/>
      <w:bookmarkStart w:id="102" w:name="_Toc10554"/>
      <w:bookmarkStart w:id="103" w:name="_Toc56502282"/>
      <w:bookmarkStart w:id="104" w:name="_Toc342913395"/>
      <w:r>
        <w:rPr>
          <w:rFonts w:hint="eastAsia" w:ascii="仿宋" w:hAnsi="仿宋" w:eastAsia="仿宋" w:cs="仿宋"/>
          <w:sz w:val="24"/>
          <w:szCs w:val="24"/>
        </w:rPr>
        <w:t>五、成交通知</w:t>
      </w:r>
      <w:bookmarkEnd w:id="101"/>
      <w:bookmarkEnd w:id="102"/>
      <w:bookmarkEnd w:id="103"/>
      <w:bookmarkEnd w:id="104"/>
    </w:p>
    <w:p>
      <w:pPr>
        <w:snapToGrid w:val="0"/>
        <w:spacing w:line="360" w:lineRule="auto"/>
        <w:ind w:firstLine="480" w:firstLineChars="200"/>
        <w:rPr>
          <w:rFonts w:ascii="仿宋" w:hAnsi="仿宋" w:eastAsia="仿宋" w:cs="仿宋"/>
          <w:sz w:val="24"/>
          <w:szCs w:val="24"/>
        </w:rPr>
      </w:pPr>
      <w:bookmarkStart w:id="105" w:name="_Toc56502283"/>
      <w:bookmarkStart w:id="106" w:name="_Toc1644"/>
      <w:r>
        <w:rPr>
          <w:rFonts w:hint="eastAsia" w:ascii="仿宋" w:hAnsi="仿宋" w:eastAsia="仿宋" w:cs="仿宋"/>
          <w:sz w:val="24"/>
          <w:szCs w:val="24"/>
        </w:rPr>
        <w:t>（一）成交供应商确定后，采购人将在重庆城市职业学院网站上发布成交结果公告。</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（二）结果公告截止后自动转为《成交通知书》。《成交通知书》一经发出即发生法律效力，作为签订合同的依据。</w:t>
      </w:r>
    </w:p>
    <w:p>
      <w:pPr>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（三）如有供应商对成交结果提出质疑的，在质疑处理完毕后发出成交通知书。</w:t>
      </w:r>
    </w:p>
    <w:p>
      <w:pPr>
        <w:pStyle w:val="5"/>
        <w:spacing w:before="0" w:after="0" w:line="360" w:lineRule="auto"/>
        <w:rPr>
          <w:rFonts w:ascii="仿宋" w:hAnsi="仿宋" w:eastAsia="仿宋" w:cs="仿宋"/>
          <w:sz w:val="24"/>
          <w:szCs w:val="24"/>
        </w:rPr>
      </w:pPr>
      <w:r>
        <w:rPr>
          <w:rFonts w:hint="eastAsia" w:ascii="仿宋" w:hAnsi="仿宋" w:eastAsia="仿宋" w:cs="仿宋"/>
          <w:sz w:val="24"/>
          <w:szCs w:val="24"/>
        </w:rPr>
        <w:t>六、关于质疑</w:t>
      </w:r>
      <w:bookmarkEnd w:id="105"/>
      <w:bookmarkEnd w:id="106"/>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（一）质疑内容、时限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1.成交结果公告期限为成交结果公告发出之日起一个工作日，供应商对成交结果有异议的，应当在成交结果</w:t>
      </w:r>
      <w:r>
        <w:rPr>
          <w:rFonts w:hint="eastAsia" w:ascii="仿宋" w:hAnsi="仿宋" w:eastAsia="仿宋" w:cs="仿宋"/>
          <w:sz w:val="24"/>
        </w:rPr>
        <w:t>公告期限届满之日起</w:t>
      </w:r>
      <w:r>
        <w:rPr>
          <w:rFonts w:hint="eastAsia" w:ascii="仿宋" w:hAnsi="仿宋" w:eastAsia="仿宋" w:cs="仿宋"/>
          <w:sz w:val="24"/>
          <w:szCs w:val="24"/>
        </w:rPr>
        <w:t>七个工作日内以书面形式向采购人一次性提出质疑，并附相关证明材料。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2.供应商对竞争性磋商文件中供应商特定资格条件、服务要求和商务要求、评审标准及评审细则有异议的，应主要向采购人一次性提出质疑。</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（二）质疑答复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rPr>
        <w:t>采购人在收到供应商书面质疑后七个工作日内，对质疑内容作出答复</w:t>
      </w:r>
      <w:r>
        <w:rPr>
          <w:rFonts w:hint="eastAsia" w:ascii="仿宋" w:hAnsi="仿宋" w:eastAsia="仿宋" w:cs="仿宋"/>
          <w:sz w:val="24"/>
          <w:szCs w:val="24"/>
        </w:rPr>
        <w:t>。</w:t>
      </w:r>
    </w:p>
    <w:p>
      <w:pPr>
        <w:spacing w:line="360" w:lineRule="auto"/>
        <w:rPr>
          <w:rFonts w:ascii="仿宋" w:hAnsi="仿宋" w:eastAsia="仿宋" w:cs="仿宋"/>
          <w:sz w:val="24"/>
          <w:szCs w:val="24"/>
        </w:rPr>
      </w:pPr>
      <w:r>
        <w:rPr>
          <w:rFonts w:hint="eastAsia" w:ascii="仿宋" w:hAnsi="仿宋" w:eastAsia="仿宋" w:cs="仿宋"/>
          <w:sz w:val="24"/>
          <w:szCs w:val="24"/>
        </w:rPr>
        <w:t xml:space="preserve">   （三）不予受理或暂缓受理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1.质疑有下列情形之一的，不予受理：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1.1质疑供应商参与了磋商活动后，再对竞争性磋商文件内容提出质疑的；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1.2质疑超过有效期的；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1.3对同一事项重复质疑的。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2.质疑有下列情形之一的，应暂不受理并告知供应商补充材料。供应商及时补充材料的，应予受理；逾期未补充的，不予受理：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2.1质疑书格式和内容不符合国家或重庆市相关规定的；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2.2质疑书提供的依据或证明材料不全的；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2.3质疑书副本数量不足的。</w:t>
      </w:r>
    </w:p>
    <w:p>
      <w:pPr>
        <w:pStyle w:val="5"/>
        <w:spacing w:before="0" w:after="0" w:line="360" w:lineRule="auto"/>
        <w:rPr>
          <w:rFonts w:ascii="仿宋" w:hAnsi="仿宋" w:eastAsia="仿宋" w:cs="仿宋"/>
          <w:sz w:val="24"/>
          <w:szCs w:val="24"/>
        </w:rPr>
      </w:pPr>
      <w:bookmarkStart w:id="107" w:name="_Toc56502284"/>
      <w:bookmarkStart w:id="108" w:name="_Toc10547"/>
      <w:r>
        <w:rPr>
          <w:rFonts w:hint="eastAsia" w:ascii="仿宋" w:hAnsi="仿宋" w:eastAsia="仿宋" w:cs="仿宋"/>
          <w:sz w:val="24"/>
          <w:szCs w:val="24"/>
        </w:rPr>
        <w:t>七、</w:t>
      </w:r>
      <w:bookmarkEnd w:id="107"/>
      <w:bookmarkEnd w:id="108"/>
      <w:bookmarkStart w:id="109" w:name="_Toc56502285"/>
      <w:bookmarkStart w:id="110" w:name="_Toc12789059"/>
      <w:bookmarkStart w:id="111" w:name="_Toc11641055"/>
      <w:r>
        <w:rPr>
          <w:rFonts w:hint="eastAsia" w:ascii="仿宋" w:hAnsi="仿宋" w:eastAsia="仿宋" w:cs="仿宋"/>
          <w:sz w:val="24"/>
          <w:szCs w:val="24"/>
        </w:rPr>
        <w:t>签订合同</w:t>
      </w:r>
      <w:bookmarkEnd w:id="109"/>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所签订合同与响应文件约定不一致的以响应文件约定的内容为准</w:t>
      </w:r>
      <w:r>
        <w:rPr>
          <w:rFonts w:hint="eastAsia" w:ascii="仿宋" w:hAnsi="仿宋" w:eastAsia="仿宋" w:cs="仿宋"/>
          <w:sz w:val="24"/>
          <w:szCs w:val="24"/>
        </w:rPr>
        <w:t>。</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（二）竞争性磋商文件、供应商的响应文件及澄清文件等，均为签订政府采购合同的依据。</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（三）合同生效条款由供需双方约定，法律、行政法规规定应当办理批准、登记等手续后生效的合同，依照其规定。</w:t>
      </w:r>
    </w:p>
    <w:p>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（四）合同原则上应按照《重庆城市职业学院采购合同》模板签订，相关单位要求适用合同通用格式版本的，应按其要求另行签订其他合同。</w:t>
      </w:r>
    </w:p>
    <w:p>
      <w:pPr>
        <w:spacing w:line="360" w:lineRule="auto"/>
        <w:ind w:firstLine="480" w:firstLineChars="200"/>
        <w:rPr>
          <w:rFonts w:ascii="仿宋" w:hAnsi="仿宋" w:eastAsia="仿宋" w:cs="仿宋"/>
          <w:sz w:val="36"/>
          <w:szCs w:val="30"/>
        </w:rPr>
        <w:sectPr>
          <w:footerReference r:id="rId7" w:type="default"/>
          <w:footerReference r:id="rId8" w:type="even"/>
          <w:pgSz w:w="11907" w:h="16840"/>
          <w:pgMar w:top="1134" w:right="1191" w:bottom="1134" w:left="1304" w:header="964" w:footer="992" w:gutter="0"/>
          <w:pgNumType w:fmt="numberInDash"/>
          <w:cols w:space="720" w:num="1"/>
          <w:docGrid w:linePitch="312" w:charSpace="0"/>
        </w:sectPr>
      </w:pPr>
      <w:r>
        <w:rPr>
          <w:rFonts w:hint="eastAsia" w:ascii="仿宋" w:hAnsi="仿宋" w:eastAsia="仿宋" w:cs="仿宋"/>
          <w:sz w:val="24"/>
          <w:szCs w:val="24"/>
        </w:rPr>
        <w:t>（五）采购人要求成交供应商提供履约保证金的，应当在竞争性磋商文件中予以约定。成交供应商履约完毕后，采购人应于五日内无息退还其履约保证金。</w:t>
      </w:r>
      <w:bookmarkStart w:id="112" w:name="_Toc56502287"/>
    </w:p>
    <w:p>
      <w:pPr>
        <w:pStyle w:val="4"/>
        <w:jc w:val="center"/>
        <w:rPr>
          <w:rFonts w:ascii="仿宋" w:hAnsi="仿宋" w:eastAsia="仿宋" w:cs="仿宋"/>
          <w:bCs/>
          <w:sz w:val="36"/>
          <w:szCs w:val="30"/>
        </w:rPr>
      </w:pPr>
      <w:r>
        <w:rPr>
          <w:rFonts w:hint="eastAsia" w:ascii="仿宋" w:hAnsi="仿宋" w:eastAsia="仿宋" w:cs="仿宋"/>
          <w:bCs/>
          <w:sz w:val="36"/>
          <w:szCs w:val="30"/>
        </w:rPr>
        <w:t xml:space="preserve">第六篇  </w:t>
      </w:r>
      <w:bookmarkEnd w:id="110"/>
      <w:bookmarkEnd w:id="111"/>
      <w:r>
        <w:rPr>
          <w:rFonts w:hint="eastAsia" w:ascii="仿宋" w:hAnsi="仿宋" w:eastAsia="仿宋" w:cs="仿宋"/>
          <w:bCs/>
          <w:sz w:val="36"/>
          <w:szCs w:val="30"/>
        </w:rPr>
        <w:t>合同</w:t>
      </w:r>
      <w:bookmarkEnd w:id="112"/>
    </w:p>
    <w:p>
      <w:pPr>
        <w:spacing w:line="500" w:lineRule="exact"/>
        <w:ind w:firstLine="480" w:firstLineChars="200"/>
        <w:rPr>
          <w:rFonts w:ascii="仿宋" w:hAnsi="仿宋" w:eastAsia="仿宋" w:cs="仿宋"/>
          <w:sz w:val="24"/>
          <w:szCs w:val="24"/>
        </w:rPr>
      </w:pPr>
      <w:r>
        <w:rPr>
          <w:rFonts w:hint="eastAsia" w:ascii="仿宋" w:hAnsi="仿宋" w:eastAsia="仿宋" w:cs="仿宋"/>
          <w:sz w:val="24"/>
          <w:szCs w:val="24"/>
        </w:rPr>
        <w:t>在磋商结束后，依据磋商文件及响应文件实质性条款，由采购人及成交单位双方对合同进行详细约定。</w:t>
      </w:r>
    </w:p>
    <w:p>
      <w:pPr>
        <w:spacing w:line="500" w:lineRule="exact"/>
        <w:jc w:val="center"/>
        <w:rPr>
          <w:rFonts w:hint="default" w:ascii="方正仿宋_GBK" w:eastAsia="方正仿宋_GBK"/>
          <w:b/>
          <w:sz w:val="44"/>
          <w:lang w:val="en-US" w:eastAsia="zh-CN"/>
        </w:rPr>
      </w:pPr>
      <w:r>
        <w:rPr>
          <w:rFonts w:hint="eastAsia" w:ascii="方正仿宋_GBK" w:eastAsia="方正仿宋_GBK"/>
          <w:b/>
          <w:sz w:val="44"/>
        </w:rPr>
        <w:t>重庆城市职业学院采购合同</w:t>
      </w:r>
      <w:r>
        <w:rPr>
          <w:rFonts w:hint="eastAsia" w:ascii="方正仿宋_GBK" w:eastAsia="方正仿宋_GBK"/>
          <w:b/>
          <w:sz w:val="44"/>
          <w:lang w:eastAsia="zh-CN"/>
        </w:rPr>
        <w:t>（</w:t>
      </w:r>
      <w:r>
        <w:rPr>
          <w:rFonts w:hint="eastAsia" w:ascii="方正仿宋_GBK" w:eastAsia="方正仿宋_GBK"/>
          <w:b/>
          <w:sz w:val="44"/>
          <w:lang w:val="en-US" w:eastAsia="zh-CN"/>
        </w:rPr>
        <w:t>模板</w:t>
      </w:r>
      <w:r>
        <w:rPr>
          <w:rFonts w:hint="eastAsia" w:ascii="方正仿宋_GBK" w:eastAsia="方正仿宋_GBK"/>
          <w:b/>
          <w:sz w:val="44"/>
          <w:lang w:eastAsia="zh-CN"/>
        </w:rPr>
        <w:t>）</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方正仿宋_GBK" w:eastAsia="方正仿宋_GBK"/>
                <w:sz w:val="21"/>
                <w:szCs w:val="21"/>
              </w:rPr>
            </w:pPr>
          </w:p>
        </w:tc>
        <w:tc>
          <w:tcPr>
            <w:tcW w:w="984" w:type="dxa"/>
            <w:vAlign w:val="center"/>
          </w:tcPr>
          <w:p>
            <w:pPr>
              <w:spacing w:line="240" w:lineRule="atLeast"/>
              <w:jc w:val="center"/>
              <w:rPr>
                <w:rFonts w:ascii="方正仿宋_GBK" w:eastAsia="方正仿宋_GBK"/>
                <w:sz w:val="21"/>
                <w:szCs w:val="21"/>
              </w:rPr>
            </w:pPr>
          </w:p>
        </w:tc>
        <w:tc>
          <w:tcPr>
            <w:tcW w:w="1298" w:type="dxa"/>
            <w:gridSpan w:val="2"/>
            <w:vAlign w:val="center"/>
          </w:tcPr>
          <w:p>
            <w:pPr>
              <w:spacing w:line="240" w:lineRule="atLeast"/>
              <w:jc w:val="center"/>
              <w:rPr>
                <w:rFonts w:ascii="方正仿宋_GBK" w:eastAsia="方正仿宋_GBK"/>
                <w:sz w:val="21"/>
                <w:szCs w:val="21"/>
              </w:rPr>
            </w:pPr>
          </w:p>
        </w:tc>
        <w:tc>
          <w:tcPr>
            <w:tcW w:w="1134" w:type="dxa"/>
            <w:vAlign w:val="center"/>
          </w:tcPr>
          <w:p>
            <w:pPr>
              <w:spacing w:line="240" w:lineRule="atLeast"/>
              <w:jc w:val="center"/>
              <w:rPr>
                <w:rFonts w:ascii="方正仿宋_GBK" w:eastAsia="方正仿宋_GBK"/>
                <w:sz w:val="21"/>
                <w:szCs w:val="21"/>
              </w:rPr>
            </w:pPr>
          </w:p>
        </w:tc>
        <w:tc>
          <w:tcPr>
            <w:tcW w:w="1559" w:type="dxa"/>
            <w:vAlign w:val="center"/>
          </w:tcPr>
          <w:p>
            <w:pPr>
              <w:spacing w:line="240" w:lineRule="atLeast"/>
              <w:jc w:val="center"/>
              <w:rPr>
                <w:rFonts w:ascii="方正仿宋_GBK" w:eastAsia="方正仿宋_GBK"/>
                <w:sz w:val="21"/>
                <w:szCs w:val="21"/>
              </w:rPr>
            </w:pPr>
          </w:p>
        </w:tc>
        <w:tc>
          <w:tcPr>
            <w:tcW w:w="1567" w:type="dxa"/>
            <w:vAlign w:val="center"/>
          </w:tcPr>
          <w:p>
            <w:pPr>
              <w:spacing w:line="240" w:lineRule="atLeast"/>
              <w:jc w:val="cente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三、付款方式：</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四、违约责任：</w:t>
            </w:r>
          </w:p>
          <w:p>
            <w:pPr>
              <w:spacing w:line="240" w:lineRule="atLeast"/>
              <w:rPr>
                <w:rFonts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p>
    <w:p>
      <w:pPr>
        <w:pStyle w:val="4"/>
        <w:jc w:val="center"/>
        <w:rPr>
          <w:rFonts w:ascii="仿宋" w:hAnsi="仿宋" w:eastAsia="仿宋" w:cs="仿宋"/>
          <w:bCs/>
          <w:sz w:val="36"/>
          <w:szCs w:val="30"/>
        </w:rPr>
      </w:pPr>
      <w:bookmarkStart w:id="113" w:name="_Toc56502288"/>
      <w:r>
        <w:rPr>
          <w:rFonts w:hint="eastAsia" w:ascii="仿宋" w:hAnsi="仿宋" w:eastAsia="仿宋" w:cs="仿宋"/>
          <w:bCs/>
          <w:sz w:val="36"/>
          <w:szCs w:val="30"/>
        </w:rPr>
        <w:t>第七篇 响应文件编制要求</w:t>
      </w:r>
      <w:bookmarkEnd w:id="113"/>
    </w:p>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（一）竞争性磋商报价函</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其他优惠</w:t>
      </w:r>
      <w:r>
        <w:rPr>
          <w:rFonts w:hint="eastAsia" w:ascii="方正仿宋_GBK" w:hAnsi="宋体" w:eastAsia="方正仿宋_GBK"/>
          <w:sz w:val="24"/>
          <w:szCs w:val="24"/>
        </w:rPr>
        <w:t>服务承诺（格式自定）</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Chars="200"/>
        <w:rPr>
          <w:rFonts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（一）中小企业声明函、监狱企业证明文件、残疾人福利性单位声明函（如有）</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w:t>
      </w:r>
    </w:p>
    <w:p>
      <w:r>
        <w:rPr>
          <w:rFonts w:hint="eastAsia"/>
        </w:rPr>
        <w:br w:type="page"/>
      </w:r>
    </w:p>
    <w:p>
      <w:pPr>
        <w:pStyle w:val="27"/>
        <w:ind w:firstLine="560"/>
      </w:pPr>
    </w:p>
    <w:p/>
    <w:p>
      <w:pPr>
        <w:jc w:val="center"/>
        <w:rPr>
          <w:b/>
          <w:bCs/>
          <w:sz w:val="96"/>
          <w:szCs w:val="48"/>
        </w:rPr>
      </w:pPr>
      <w:r>
        <w:rPr>
          <w:rFonts w:hint="eastAsia"/>
          <w:b/>
          <w:bCs/>
          <w:sz w:val="96"/>
          <w:szCs w:val="48"/>
        </w:rPr>
        <w:t>重庆城市职业学院</w:t>
      </w:r>
    </w:p>
    <w:p>
      <w:pPr>
        <w:jc w:val="center"/>
        <w:rPr>
          <w:b/>
          <w:bCs/>
          <w:sz w:val="72"/>
          <w:szCs w:val="44"/>
        </w:rPr>
      </w:pPr>
      <w:r>
        <w:rPr>
          <w:rFonts w:hint="eastAsia"/>
          <w:b/>
          <w:bCs/>
          <w:sz w:val="72"/>
          <w:szCs w:val="44"/>
          <w:lang w:eastAsia="zh-CN"/>
        </w:rPr>
        <w:t>第九届中国国际互联网+大学生创新创业大赛项目采购</w:t>
      </w:r>
      <w:r>
        <w:rPr>
          <w:rFonts w:hint="eastAsia"/>
          <w:b/>
          <w:bCs/>
          <w:sz w:val="72"/>
          <w:szCs w:val="44"/>
        </w:rPr>
        <w:t>项目</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响  </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应  </w:t>
      </w:r>
    </w:p>
    <w:p>
      <w:pPr>
        <w:tabs>
          <w:tab w:val="left" w:pos="3600"/>
          <w:tab w:val="left" w:pos="4480"/>
          <w:tab w:val="left" w:pos="5360"/>
        </w:tabs>
        <w:autoSpaceDE w:val="0"/>
        <w:autoSpaceDN w:val="0"/>
        <w:adjustRightInd w:val="0"/>
        <w:snapToGrid w:val="0"/>
        <w:spacing w:line="360" w:lineRule="auto"/>
        <w:jc w:val="center"/>
        <w:rPr>
          <w:rFonts w:ascii="仿宋" w:hAnsi="仿宋" w:eastAsia="仿宋" w:cs="仿宋"/>
          <w:b/>
          <w:kern w:val="0"/>
          <w:sz w:val="84"/>
          <w:szCs w:val="84"/>
        </w:rPr>
      </w:pPr>
      <w:r>
        <w:rPr>
          <w:rFonts w:hint="eastAsia" w:ascii="仿宋" w:hAnsi="仿宋" w:eastAsia="仿宋" w:cs="仿宋"/>
          <w:b/>
          <w:kern w:val="0"/>
          <w:sz w:val="84"/>
          <w:szCs w:val="84"/>
        </w:rPr>
        <w:t xml:space="preserve">文 </w:t>
      </w:r>
    </w:p>
    <w:p>
      <w:pPr>
        <w:tabs>
          <w:tab w:val="left" w:pos="3600"/>
          <w:tab w:val="left" w:pos="4480"/>
          <w:tab w:val="left" w:pos="5360"/>
        </w:tabs>
        <w:autoSpaceDE w:val="0"/>
        <w:autoSpaceDN w:val="0"/>
        <w:adjustRightInd w:val="0"/>
        <w:snapToGrid w:val="0"/>
        <w:spacing w:line="360" w:lineRule="auto"/>
        <w:jc w:val="center"/>
      </w:pPr>
      <w:r>
        <w:rPr>
          <w:rFonts w:hint="eastAsia" w:ascii="仿宋" w:hAnsi="仿宋" w:eastAsia="仿宋" w:cs="仿宋"/>
          <w:b/>
          <w:kern w:val="0"/>
          <w:sz w:val="84"/>
          <w:szCs w:val="84"/>
        </w:rPr>
        <w:t>件</w:t>
      </w:r>
    </w:p>
    <w:p>
      <w:pPr>
        <w:pStyle w:val="27"/>
        <w:ind w:firstLine="560"/>
      </w:pPr>
    </w:p>
    <w:p>
      <w:pPr>
        <w:pStyle w:val="27"/>
        <w:spacing w:line="360" w:lineRule="auto"/>
        <w:ind w:firstLine="964" w:firstLineChars="300"/>
        <w:rPr>
          <w:rFonts w:ascii="仿宋" w:hAnsi="仿宋" w:eastAsia="仿宋" w:cs="仿宋"/>
          <w:b/>
          <w:szCs w:val="28"/>
          <w:u w:val="single"/>
        </w:rPr>
      </w:pPr>
      <w:r>
        <w:rPr>
          <w:rFonts w:hint="eastAsia" w:ascii="仿宋" w:hAnsi="仿宋" w:eastAsia="仿宋" w:cs="仿宋"/>
          <w:b/>
          <w:sz w:val="32"/>
          <w:szCs w:val="32"/>
        </w:rPr>
        <w:t>项目编号：</w:t>
      </w:r>
      <w:r>
        <w:rPr>
          <w:rFonts w:hint="eastAsia" w:ascii="仿宋" w:hAnsi="仿宋" w:eastAsia="仿宋" w:cs="仿宋"/>
          <w:b/>
          <w:sz w:val="32"/>
          <w:szCs w:val="32"/>
          <w:u w:val="single"/>
        </w:rPr>
        <w:t xml:space="preserve">                                       </w:t>
      </w:r>
    </w:p>
    <w:p>
      <w:pPr>
        <w:tabs>
          <w:tab w:val="left" w:pos="1988"/>
        </w:tabs>
        <w:spacing w:line="360" w:lineRule="auto"/>
        <w:rPr>
          <w:rFonts w:ascii="仿宋" w:hAnsi="仿宋" w:eastAsia="仿宋" w:cs="仿宋"/>
          <w:b/>
          <w:sz w:val="32"/>
          <w:szCs w:val="32"/>
        </w:rPr>
      </w:pPr>
      <w:r>
        <w:rPr>
          <w:rFonts w:hint="eastAsia" w:ascii="仿宋" w:hAnsi="仿宋" w:eastAsia="仿宋" w:cs="仿宋"/>
        </w:rPr>
        <w:t xml:space="preserve">       </w:t>
      </w:r>
      <w:r>
        <w:rPr>
          <w:rFonts w:hint="eastAsia" w:ascii="仿宋" w:hAnsi="仿宋" w:eastAsia="仿宋" w:cs="仿宋"/>
          <w:b/>
          <w:sz w:val="32"/>
          <w:szCs w:val="32"/>
        </w:rPr>
        <w:t>项目名称：</w:t>
      </w:r>
      <w:r>
        <w:rPr>
          <w:rFonts w:hint="eastAsia" w:ascii="仿宋" w:hAnsi="仿宋" w:eastAsia="仿宋" w:cs="仿宋"/>
          <w:b/>
          <w:sz w:val="32"/>
          <w:szCs w:val="32"/>
          <w:u w:val="single"/>
        </w:rPr>
        <w:t xml:space="preserve">                                       </w:t>
      </w:r>
    </w:p>
    <w:p>
      <w:pPr>
        <w:tabs>
          <w:tab w:val="left" w:pos="1988"/>
        </w:tabs>
        <w:spacing w:line="360" w:lineRule="auto"/>
        <w:ind w:firstLine="964" w:firstLineChars="300"/>
        <w:rPr>
          <w:rFonts w:ascii="仿宋" w:hAnsi="仿宋" w:eastAsia="仿宋" w:cs="仿宋"/>
          <w:bCs/>
          <w:sz w:val="32"/>
          <w:szCs w:val="32"/>
          <w:u w:val="single"/>
        </w:rPr>
      </w:pPr>
      <w:r>
        <w:rPr>
          <w:rFonts w:hint="eastAsia" w:ascii="仿宋" w:hAnsi="仿宋" w:eastAsia="仿宋" w:cs="仿宋"/>
          <w:b/>
          <w:sz w:val="32"/>
          <w:szCs w:val="32"/>
        </w:rPr>
        <w:t>供应商名称：</w:t>
      </w:r>
      <w:r>
        <w:rPr>
          <w:rFonts w:hint="eastAsia" w:ascii="仿宋" w:hAnsi="仿宋" w:eastAsia="仿宋" w:cs="仿宋"/>
          <w:b/>
          <w:sz w:val="32"/>
          <w:szCs w:val="32"/>
          <w:u w:val="single"/>
        </w:rPr>
        <w:t xml:space="preserve">                      </w:t>
      </w:r>
      <w:r>
        <w:rPr>
          <w:rFonts w:hint="eastAsia" w:ascii="仿宋" w:hAnsi="仿宋" w:eastAsia="仿宋" w:cs="仿宋"/>
          <w:bCs/>
          <w:sz w:val="32"/>
          <w:szCs w:val="32"/>
          <w:u w:val="single"/>
        </w:rPr>
        <w:t>(盖单位公章</w:t>
      </w:r>
      <w:r>
        <w:rPr>
          <w:rFonts w:hint="eastAsia" w:ascii="仿宋" w:hAnsi="仿宋" w:eastAsia="仿宋" w:cs="仿宋"/>
          <w:bCs/>
          <w:sz w:val="32"/>
          <w:szCs w:val="32"/>
          <w:u w:val="single"/>
          <w:lang w:eastAsia="zh-CN"/>
        </w:rPr>
        <w:t>）</w:t>
      </w:r>
      <w:r>
        <w:rPr>
          <w:rFonts w:hint="eastAsia" w:ascii="仿宋" w:hAnsi="仿宋" w:eastAsia="仿宋" w:cs="仿宋"/>
          <w:bCs/>
          <w:sz w:val="32"/>
          <w:szCs w:val="32"/>
          <w:u w:val="single"/>
        </w:rPr>
        <w:t xml:space="preserve">   </w:t>
      </w:r>
    </w:p>
    <w:p>
      <w:pPr>
        <w:tabs>
          <w:tab w:val="left" w:pos="1988"/>
        </w:tabs>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法定代表人或其委托代理人：</w:t>
      </w:r>
      <w:r>
        <w:rPr>
          <w:rFonts w:hint="eastAsia" w:ascii="仿宋" w:hAnsi="仿宋" w:eastAsia="仿宋" w:cs="仿宋"/>
          <w:b/>
          <w:bCs/>
          <w:sz w:val="32"/>
          <w:szCs w:val="32"/>
          <w:u w:val="single"/>
        </w:rPr>
        <w:t xml:space="preserve">                  </w:t>
      </w:r>
      <w:r>
        <w:rPr>
          <w:rFonts w:hint="eastAsia" w:ascii="仿宋" w:hAnsi="仿宋" w:eastAsia="仿宋" w:cs="仿宋"/>
          <w:sz w:val="32"/>
          <w:szCs w:val="32"/>
        </w:rPr>
        <w:t>(签字</w:t>
      </w:r>
      <w:r>
        <w:rPr>
          <w:rFonts w:hint="eastAsia" w:ascii="仿宋" w:hAnsi="仿宋" w:eastAsia="仿宋" w:cs="仿宋"/>
          <w:sz w:val="32"/>
          <w:szCs w:val="32"/>
          <w:lang w:eastAsia="zh-CN"/>
        </w:rPr>
        <w:t>）</w:t>
      </w:r>
    </w:p>
    <w:p>
      <w:pPr>
        <w:tabs>
          <w:tab w:val="left" w:pos="3280"/>
          <w:tab w:val="left" w:pos="4680"/>
          <w:tab w:val="left" w:pos="6080"/>
        </w:tabs>
        <w:autoSpaceDE w:val="0"/>
        <w:autoSpaceDN w:val="0"/>
        <w:adjustRightInd w:val="0"/>
        <w:snapToGrid w:val="0"/>
        <w:spacing w:line="360" w:lineRule="auto"/>
        <w:jc w:val="cente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s="仿宋"/>
          <w:b/>
          <w:w w:val="99"/>
          <w:kern w:val="0"/>
          <w:szCs w:val="28"/>
          <w:u w:val="single"/>
        </w:rPr>
        <w:t xml:space="preserve">   　</w:t>
      </w:r>
      <w:r>
        <w:rPr>
          <w:rFonts w:hint="eastAsia" w:ascii="仿宋" w:hAnsi="仿宋" w:eastAsia="仿宋" w:cs="仿宋"/>
          <w:b/>
          <w:w w:val="99"/>
          <w:kern w:val="0"/>
          <w:szCs w:val="28"/>
        </w:rPr>
        <w:t>年</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月</w:t>
      </w:r>
      <w:r>
        <w:rPr>
          <w:rFonts w:hint="eastAsia" w:ascii="仿宋" w:hAnsi="仿宋" w:eastAsia="仿宋" w:cs="仿宋"/>
          <w:b/>
          <w:w w:val="198"/>
          <w:kern w:val="0"/>
          <w:szCs w:val="28"/>
          <w:u w:val="single"/>
        </w:rPr>
        <w:t xml:space="preserve">  </w:t>
      </w:r>
      <w:r>
        <w:rPr>
          <w:rFonts w:hint="eastAsia" w:ascii="仿宋" w:hAnsi="仿宋" w:eastAsia="仿宋" w:cs="仿宋"/>
          <w:b/>
          <w:w w:val="99"/>
          <w:kern w:val="0"/>
          <w:szCs w:val="28"/>
        </w:rPr>
        <w:t>日</w:t>
      </w:r>
    </w:p>
    <w:p/>
    <w:p>
      <w:pPr>
        <w:pStyle w:val="4"/>
        <w:numPr>
          <w:ilvl w:val="0"/>
          <w:numId w:val="5"/>
        </w:numPr>
        <w:spacing w:line="400" w:lineRule="exact"/>
        <w:ind w:firstLineChars="200"/>
        <w:rPr>
          <w:rFonts w:ascii="方正仿宋_GBK" w:eastAsia="方正仿宋_GBK"/>
          <w:b/>
          <w:bCs/>
          <w:sz w:val="24"/>
        </w:rPr>
      </w:pPr>
      <w:bookmarkStart w:id="114" w:name="_Toc313888360"/>
      <w:bookmarkStart w:id="115" w:name="_Toc313008356"/>
      <w:bookmarkStart w:id="116" w:name="_Toc342913419"/>
      <w:bookmarkStart w:id="117" w:name="_Toc56502289"/>
      <w:bookmarkStart w:id="118" w:name="_Toc23750"/>
      <w:bookmarkStart w:id="119" w:name="_Toc12789073"/>
      <w:bookmarkStart w:id="120" w:name="_Toc283382454"/>
      <w:r>
        <w:rPr>
          <w:rFonts w:hint="eastAsia" w:ascii="方正仿宋_GBK" w:eastAsia="方正仿宋_GBK"/>
          <w:b/>
          <w:bCs/>
          <w:sz w:val="24"/>
        </w:rPr>
        <w:t>经济部分</w:t>
      </w:r>
      <w:bookmarkEnd w:id="114"/>
      <w:bookmarkEnd w:id="115"/>
      <w:bookmarkEnd w:id="116"/>
      <w:bookmarkEnd w:id="117"/>
      <w:bookmarkEnd w:id="118"/>
    </w:p>
    <w:p/>
    <w:bookmarkEnd w:id="119"/>
    <w:bookmarkEnd w:id="120"/>
    <w:p>
      <w:pPr>
        <w:tabs>
          <w:tab w:val="left" w:pos="6300"/>
        </w:tabs>
        <w:snapToGrid w:val="0"/>
        <w:spacing w:line="312" w:lineRule="auto"/>
        <w:ind w:firstLineChars="200"/>
        <w:rPr>
          <w:rFonts w:ascii="方正仿宋_GBK" w:eastAsia="方正仿宋_GBK"/>
          <w:b/>
        </w:rPr>
      </w:pPr>
      <w:r>
        <w:rPr>
          <w:rFonts w:hint="eastAsia" w:ascii="方正仿宋_GBK" w:hAnsi="宋体" w:eastAsia="方正仿宋_GBK"/>
          <w:sz w:val="24"/>
          <w:szCs w:val="24"/>
        </w:rPr>
        <w:t>（一）竞争性磋商报价函</w:t>
      </w:r>
    </w:p>
    <w:p>
      <w:pPr>
        <w:jc w:val="center"/>
        <w:rPr>
          <w:rFonts w:ascii="方正仿宋_GBK" w:eastAsia="方正仿宋_GBK"/>
          <w:b/>
        </w:rPr>
      </w:pPr>
      <w:r>
        <w:rPr>
          <w:rFonts w:hint="eastAsia" w:ascii="方正仿宋_GBK" w:eastAsia="方正仿宋_GBK"/>
          <w:b/>
        </w:rPr>
        <w:t>竞争性磋商报价函</w:t>
      </w:r>
    </w:p>
    <w:p>
      <w:pPr>
        <w:tabs>
          <w:tab w:val="left" w:pos="6300"/>
        </w:tabs>
        <w:snapToGrid w:val="0"/>
        <w:spacing w:line="480" w:lineRule="exact"/>
        <w:rPr>
          <w:rFonts w:ascii="仿宋" w:hAnsi="仿宋" w:eastAsia="仿宋" w:cs="仿宋"/>
          <w:sz w:val="24"/>
          <w:szCs w:val="24"/>
        </w:rPr>
      </w:pPr>
      <w:r>
        <w:rPr>
          <w:rFonts w:hint="eastAsia" w:ascii="方正仿宋_GBK" w:hAnsi="宋体" w:eastAsia="方正仿宋_GBK"/>
          <w:sz w:val="24"/>
          <w:szCs w:val="24"/>
          <w:u w:val="single"/>
        </w:rPr>
        <w:t>（</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我方收到____________________________（项目名称）的竞争性磋商文件，经详细研究，决定参加该项目的磋商。</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1、愿意按照竞争性磋商文件中的一切要求，提供本项目的技术服务，初始报价为人民币大写：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元。以我公司最后报价为准。</w:t>
      </w:r>
    </w:p>
    <w:p>
      <w:pPr>
        <w:tabs>
          <w:tab w:val="left" w:pos="6300"/>
        </w:tabs>
        <w:snapToGrid w:val="0"/>
        <w:spacing w:line="48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2、我方现提交的响应文件为：响应文件正本</w:t>
      </w:r>
      <w:r>
        <w:rPr>
          <w:rFonts w:hint="eastAsia" w:ascii="仿宋" w:hAnsi="仿宋" w:eastAsia="仿宋" w:cs="仿宋"/>
          <w:sz w:val="24"/>
          <w:szCs w:val="24"/>
          <w:u w:val="single"/>
        </w:rPr>
        <w:t xml:space="preserve">   </w:t>
      </w:r>
      <w:r>
        <w:rPr>
          <w:rFonts w:hint="eastAsia" w:ascii="仿宋" w:hAnsi="仿宋" w:eastAsia="仿宋" w:cs="仿宋"/>
          <w:sz w:val="24"/>
          <w:szCs w:val="24"/>
        </w:rPr>
        <w:t>份，副本</w:t>
      </w:r>
      <w:r>
        <w:rPr>
          <w:rFonts w:hint="eastAsia" w:ascii="仿宋" w:hAnsi="仿宋" w:eastAsia="仿宋" w:cs="仿宋"/>
          <w:sz w:val="24"/>
          <w:szCs w:val="24"/>
          <w:u w:val="single"/>
        </w:rPr>
        <w:t xml:space="preserve">   </w:t>
      </w:r>
      <w:r>
        <w:rPr>
          <w:rFonts w:hint="eastAsia" w:ascii="仿宋" w:hAnsi="仿宋" w:eastAsia="仿宋" w:cs="仿宋"/>
          <w:sz w:val="24"/>
          <w:szCs w:val="24"/>
        </w:rPr>
        <w:t>份，电子文档</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3、我方承诺：本次磋商的有效期为90天。</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8"/>
        </w:rPr>
        <w:t>我方理解，最低报价不是成交的唯一条件。</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8、我方同意按竞争性磋商文件规定，交纳竞争性磋商文件要求的磋商保证金。</w:t>
      </w:r>
    </w:p>
    <w:p>
      <w:pPr>
        <w:tabs>
          <w:tab w:val="left" w:pos="6300"/>
        </w:tabs>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8"/>
        </w:rPr>
        <w:t>我方未</w:t>
      </w:r>
      <w:r>
        <w:rPr>
          <w:rFonts w:hint="eastAsia" w:ascii="仿宋" w:hAnsi="仿宋" w:eastAsia="仿宋" w:cs="仿宋"/>
          <w:sz w:val="24"/>
          <w:szCs w:val="24"/>
        </w:rPr>
        <w:t>为采购项目提供整体设计、规范编制或者项目管理、监理、检测等服务。</w:t>
      </w: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p>
    <w:p>
      <w:pPr>
        <w:tabs>
          <w:tab w:val="left" w:pos="6300"/>
        </w:tabs>
        <w:snapToGrid w:val="0"/>
        <w:spacing w:line="312" w:lineRule="auto"/>
        <w:ind w:firstLine="570"/>
        <w:rPr>
          <w:rFonts w:ascii="仿宋" w:hAnsi="仿宋" w:eastAsia="仿宋" w:cs="仿宋"/>
          <w:sz w:val="24"/>
          <w:szCs w:val="24"/>
        </w:rPr>
      </w:pPr>
      <w:r>
        <w:rPr>
          <w:rFonts w:hint="eastAsia" w:ascii="仿宋" w:hAnsi="仿宋" w:eastAsia="仿宋" w:cs="仿宋"/>
          <w:sz w:val="24"/>
          <w:szCs w:val="24"/>
        </w:rPr>
        <w:t xml:space="preserve">                                                供应商（公章）：</w:t>
      </w:r>
    </w:p>
    <w:p>
      <w:pPr>
        <w:snapToGrid w:val="0"/>
        <w:spacing w:line="312"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                                                  年   月   日</w:t>
      </w:r>
    </w:p>
    <w:p>
      <w:pPr>
        <w:snapToGrid w:val="0"/>
        <w:spacing w:line="312" w:lineRule="auto"/>
        <w:ind w:firstLine="480" w:firstLineChars="200"/>
        <w:rPr>
          <w:rFonts w:ascii="仿宋" w:hAnsi="仿宋" w:eastAsia="仿宋" w:cs="仿宋"/>
          <w:sz w:val="24"/>
          <w:szCs w:val="24"/>
        </w:rPr>
      </w:pPr>
    </w:p>
    <w:p>
      <w:pPr>
        <w:snapToGrid w:val="0"/>
        <w:spacing w:line="312" w:lineRule="auto"/>
        <w:ind w:firstLine="480" w:firstLineChars="200"/>
        <w:rPr>
          <w:rFonts w:ascii="仿宋" w:hAnsi="仿宋" w:eastAsia="仿宋" w:cs="仿宋"/>
          <w:sz w:val="24"/>
          <w:szCs w:val="24"/>
        </w:rPr>
        <w:sectPr>
          <w:pgSz w:w="11907" w:h="16840"/>
          <w:pgMar w:top="1134" w:right="1191" w:bottom="1134" w:left="1304" w:header="851" w:footer="992" w:gutter="0"/>
          <w:pgNumType w:fmt="numberInDash"/>
          <w:cols w:space="720" w:num="1"/>
          <w:docGrid w:linePitch="380" w:charSpace="-5735"/>
        </w:sectPr>
      </w:pPr>
    </w:p>
    <w:p>
      <w:pPr>
        <w:tabs>
          <w:tab w:val="left" w:pos="2895"/>
        </w:tabs>
        <w:spacing w:line="400" w:lineRule="exact"/>
        <w:ind w:firstLineChars="200"/>
        <w:rPr>
          <w:rFonts w:ascii="方正仿宋_GBK" w:hAnsi="宋体" w:eastAsia="方正仿宋_GBK"/>
          <w:b/>
          <w:bCs/>
          <w:sz w:val="24"/>
          <w:szCs w:val="24"/>
        </w:rPr>
      </w:pPr>
      <w:r>
        <w:rPr>
          <w:rFonts w:hint="eastAsia" w:ascii="方正仿宋_GBK" w:hAnsi="宋体" w:eastAsia="方正仿宋_GBK"/>
          <w:b/>
          <w:bCs/>
          <w:sz w:val="24"/>
          <w:szCs w:val="24"/>
        </w:rPr>
        <w:t>（二）明细报价表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 xml:space="preserve">项目编号：                           </w:t>
      </w:r>
    </w:p>
    <w:p>
      <w:pPr>
        <w:spacing w:line="400" w:lineRule="exact"/>
        <w:ind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项目名称：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39"/>
        <w:gridCol w:w="2045"/>
        <w:gridCol w:w="3070"/>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2039"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服务类型</w:t>
            </w:r>
          </w:p>
        </w:tc>
        <w:tc>
          <w:tcPr>
            <w:tcW w:w="204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报价小写（元/件）</w:t>
            </w:r>
          </w:p>
        </w:tc>
        <w:tc>
          <w:tcPr>
            <w:tcW w:w="3070"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报价大写（元/件）</w:t>
            </w:r>
          </w:p>
        </w:tc>
        <w:tc>
          <w:tcPr>
            <w:tcW w:w="1235" w:type="dxa"/>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10"/>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2039" w:type="dxa"/>
            <w:vAlign w:val="center"/>
          </w:tcPr>
          <w:p>
            <w:pPr>
              <w:jc w:val="center"/>
              <w:rPr>
                <w:rFonts w:ascii="方正仿宋_GBK" w:hAnsi="宋体" w:eastAsia="方正仿宋_GBK"/>
                <w:sz w:val="21"/>
                <w:szCs w:val="21"/>
              </w:rPr>
            </w:pPr>
          </w:p>
        </w:tc>
        <w:tc>
          <w:tcPr>
            <w:tcW w:w="2045" w:type="dxa"/>
          </w:tcPr>
          <w:p>
            <w:pPr>
              <w:jc w:val="center"/>
              <w:rPr>
                <w:rFonts w:ascii="方正仿宋_GBK" w:hAnsi="宋体" w:eastAsia="方正仿宋_GBK"/>
                <w:sz w:val="21"/>
                <w:szCs w:val="21"/>
              </w:rPr>
            </w:pPr>
          </w:p>
        </w:tc>
        <w:tc>
          <w:tcPr>
            <w:tcW w:w="3070" w:type="dxa"/>
            <w:vAlign w:val="center"/>
          </w:tcPr>
          <w:p>
            <w:pPr>
              <w:jc w:val="center"/>
              <w:rPr>
                <w:rFonts w:ascii="方正仿宋_GBK" w:hAnsi="宋体" w:eastAsia="方正仿宋_GBK"/>
                <w:sz w:val="21"/>
                <w:szCs w:val="21"/>
              </w:rPr>
            </w:pPr>
          </w:p>
        </w:tc>
        <w:tc>
          <w:tcPr>
            <w:tcW w:w="1235" w:type="dxa"/>
          </w:tcPr>
          <w:p>
            <w:pPr>
              <w:jc w:val="center"/>
              <w:rPr>
                <w:rFonts w:ascii="方正仿宋_GBK" w:hAnsi="宋体" w:eastAsia="方正仿宋_GBK"/>
                <w:sz w:val="21"/>
                <w:szCs w:val="21"/>
              </w:rPr>
            </w:pPr>
          </w:p>
        </w:tc>
      </w:tr>
    </w:tbl>
    <w:p>
      <w:pPr>
        <w:snapToGrid w:val="0"/>
        <w:spacing w:line="500" w:lineRule="exact"/>
        <w:ind w:firstLineChars="200"/>
        <w:rPr>
          <w:rFonts w:ascii="方正仿宋_GBK" w:hAnsi="宋体" w:eastAsia="方正仿宋_GBK"/>
          <w:sz w:val="24"/>
          <w:szCs w:val="28"/>
        </w:rPr>
      </w:pPr>
    </w:p>
    <w:p>
      <w:pPr>
        <w:snapToGrid w:val="0"/>
        <w:spacing w:line="500" w:lineRule="exact"/>
        <w:ind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21" w:name="OLE_LINK2"/>
      <w:r>
        <w:rPr>
          <w:rFonts w:hint="eastAsia" w:ascii="方正仿宋_GBK" w:hAnsi="宋体" w:eastAsia="方正仿宋_GBK"/>
          <w:sz w:val="24"/>
          <w:szCs w:val="28"/>
        </w:rPr>
        <w:t>。</w:t>
      </w:r>
      <w:bookmarkEnd w:id="121"/>
    </w:p>
    <w:p>
      <w:pPr>
        <w:pStyle w:val="15"/>
        <w:spacing w:line="360" w:lineRule="auto"/>
        <w:rPr>
          <w:rFonts w:ascii="方正仿宋_GBK" w:hAnsi="宋体" w:eastAsia="方正仿宋_GBK"/>
          <w:sz w:val="24"/>
          <w:szCs w:val="24"/>
        </w:rPr>
      </w:pPr>
    </w:p>
    <w:p>
      <w:pPr>
        <w:pStyle w:val="15"/>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Chars="2700"/>
        <w:rPr>
          <w:rFonts w:ascii="方正仿宋_GBK" w:hAnsi="宋体" w:eastAsia="方正仿宋_GBK"/>
          <w:sz w:val="24"/>
          <w:szCs w:val="24"/>
          <w:bdr w:val="single" w:color="auto" w:sz="4" w:space="0"/>
        </w:rPr>
        <w:sectPr>
          <w:headerReference r:id="rId11"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年     月    日</w:t>
      </w:r>
    </w:p>
    <w:p>
      <w:pPr>
        <w:pStyle w:val="4"/>
        <w:spacing w:line="400" w:lineRule="exact"/>
        <w:ind w:firstLineChars="200"/>
        <w:rPr>
          <w:rFonts w:ascii="方正仿宋_GBK" w:eastAsia="方正仿宋_GBK"/>
          <w:b/>
          <w:bCs/>
          <w:sz w:val="24"/>
        </w:rPr>
      </w:pPr>
      <w:bookmarkStart w:id="122" w:name="_Toc342913420"/>
      <w:bookmarkStart w:id="123" w:name="_Toc313008357"/>
      <w:bookmarkStart w:id="124" w:name="_Toc106030907"/>
      <w:bookmarkStart w:id="125" w:name="_Toc313888361"/>
      <w:bookmarkStart w:id="126" w:name="_Toc76462351"/>
      <w:r>
        <w:rPr>
          <w:rFonts w:hint="eastAsia" w:ascii="方正仿宋_GBK" w:eastAsia="方正仿宋_GBK"/>
          <w:b/>
          <w:bCs/>
          <w:sz w:val="24"/>
        </w:rPr>
        <w:t>二、服务部分</w:t>
      </w:r>
      <w:bookmarkEnd w:id="122"/>
      <w:bookmarkEnd w:id="123"/>
      <w:bookmarkEnd w:id="124"/>
      <w:bookmarkEnd w:id="125"/>
      <w:bookmarkEnd w:id="126"/>
    </w:p>
    <w:p>
      <w:pPr>
        <w:tabs>
          <w:tab w:val="left" w:pos="6300"/>
        </w:tabs>
        <w:snapToGrid w:val="0"/>
        <w:spacing w:line="400" w:lineRule="exact"/>
        <w:ind w:firstLineChars="200"/>
        <w:rPr>
          <w:rFonts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磋商项目名称：</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541"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600"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c>
          <w:tcPr>
            <w:tcW w:w="1199" w:type="pct"/>
            <w:vAlign w:val="center"/>
          </w:tcPr>
          <w:p>
            <w:pPr>
              <w:tabs>
                <w:tab w:val="left" w:pos="6300"/>
              </w:tabs>
              <w:snapToGrid w:val="0"/>
              <w:spacing w:line="500" w:lineRule="exact"/>
              <w:jc w:val="center"/>
              <w:outlineLvl w:val="0"/>
              <w:rPr>
                <w:rFonts w:ascii="方正仿宋_GBK" w:hAnsi="宋体" w:eastAsia="方正仿宋_GBK"/>
                <w:sz w:val="21"/>
                <w:szCs w:val="21"/>
              </w:rPr>
            </w:pPr>
          </w:p>
        </w:tc>
      </w:tr>
    </w:tbl>
    <w:p>
      <w:pPr>
        <w:spacing w:line="500" w:lineRule="exact"/>
        <w:ind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snapToGrid w:val="0"/>
        <w:spacing w:line="400" w:lineRule="exact"/>
        <w:ind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pPr>
        <w:tabs>
          <w:tab w:val="left" w:pos="6300"/>
        </w:tabs>
        <w:snapToGrid w:val="0"/>
        <w:spacing w:line="400" w:lineRule="exact"/>
        <w:ind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4"/>
        <w:spacing w:line="400" w:lineRule="exact"/>
        <w:ind w:firstLineChars="200"/>
        <w:rPr>
          <w:rFonts w:ascii="方正仿宋_GBK" w:eastAsia="方正仿宋_GBK"/>
          <w:sz w:val="24"/>
        </w:rPr>
      </w:pPr>
      <w:r>
        <w:rPr>
          <w:rFonts w:ascii="方正仿宋_GBK" w:eastAsia="方正仿宋_GBK"/>
        </w:rPr>
        <w:br w:type="page"/>
      </w:r>
      <w:bookmarkStart w:id="127" w:name="_Toc106030908"/>
      <w:bookmarkStart w:id="128" w:name="_Toc76462352"/>
      <w:bookmarkStart w:id="129" w:name="_Toc313008358"/>
      <w:bookmarkStart w:id="130" w:name="_Toc342913421"/>
      <w:bookmarkStart w:id="131" w:name="_Toc313888362"/>
      <w:r>
        <w:rPr>
          <w:rFonts w:hint="eastAsia" w:ascii="方正仿宋_GBK" w:eastAsia="方正仿宋_GBK"/>
          <w:b/>
          <w:bCs/>
          <w:sz w:val="24"/>
        </w:rPr>
        <w:t>三、商务部分</w:t>
      </w:r>
      <w:bookmarkEnd w:id="127"/>
      <w:bookmarkEnd w:id="128"/>
      <w:bookmarkEnd w:id="129"/>
      <w:bookmarkEnd w:id="130"/>
      <w:bookmarkEnd w:id="131"/>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pPr>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ascii="方正仿宋_GBK" w:hAnsi="宋体" w:eastAsia="方正仿宋_GBK"/>
                <w:sz w:val="21"/>
                <w:szCs w:val="24"/>
              </w:rPr>
            </w:pPr>
          </w:p>
        </w:tc>
      </w:tr>
    </w:tbl>
    <w:p>
      <w:pPr>
        <w:snapToGrid w:val="0"/>
        <w:spacing w:line="360" w:lineRule="auto"/>
        <w:ind w:firstLine="465"/>
        <w:rPr>
          <w:rFonts w:ascii="方正仿宋_GBK" w:hAnsi="宋体" w:eastAsia="方正仿宋_GBK"/>
          <w:sz w:val="24"/>
          <w:szCs w:val="24"/>
        </w:rPr>
      </w:pPr>
    </w:p>
    <w:p>
      <w:pPr>
        <w:spacing w:line="500" w:lineRule="exact"/>
        <w:ind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snapToGrid w:val="0"/>
        <w:spacing w:line="400" w:lineRule="exact"/>
        <w:ind w:firstLineChars="200"/>
        <w:rPr>
          <w:rFonts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pPr>
        <w:snapToGrid w:val="0"/>
        <w:spacing w:line="400" w:lineRule="exact"/>
        <w:ind w:firstLineChars="200"/>
        <w:rPr>
          <w:rFonts w:ascii="方正仿宋_GBK" w:hAnsi="宋体" w:eastAsia="方正仿宋_GBK"/>
          <w:sz w:val="24"/>
          <w:szCs w:val="24"/>
        </w:rPr>
      </w:pPr>
      <w:bookmarkStart w:id="132" w:name="_Toc283382459"/>
      <w:r>
        <w:rPr>
          <w:rFonts w:hint="eastAsia" w:ascii="方正仿宋_GBK" w:hAnsi="宋体" w:eastAsia="方正仿宋_GBK"/>
          <w:sz w:val="24"/>
          <w:szCs w:val="24"/>
        </w:rPr>
        <w:t>（二）</w:t>
      </w:r>
      <w:r>
        <w:rPr>
          <w:rFonts w:hint="eastAsia" w:ascii="方正仿宋_GBK" w:hAnsi="宋体" w:eastAsia="方正仿宋_GBK"/>
          <w:sz w:val="24"/>
          <w:szCs w:val="24"/>
          <w:lang w:eastAsia="zh-CN"/>
        </w:rPr>
        <w:t>其他优惠</w:t>
      </w:r>
      <w:r>
        <w:rPr>
          <w:rFonts w:hint="eastAsia" w:ascii="方正仿宋_GBK" w:hAnsi="宋体" w:eastAsia="方正仿宋_GBK"/>
          <w:sz w:val="24"/>
          <w:szCs w:val="24"/>
        </w:rPr>
        <w:t>承诺（格式自定）</w:t>
      </w:r>
    </w:p>
    <w:p>
      <w:pPr>
        <w:snapToGrid w:val="0"/>
        <w:spacing w:line="400" w:lineRule="exact"/>
        <w:ind w:firstLineChars="200"/>
        <w:rPr>
          <w:rFonts w:ascii="方正仿宋_GBK" w:hAnsi="宋体" w:eastAsia="方正仿宋_GBK"/>
          <w:sz w:val="24"/>
          <w:szCs w:val="24"/>
        </w:rPr>
      </w:pPr>
    </w:p>
    <w:p>
      <w:pPr>
        <w:pStyle w:val="4"/>
        <w:spacing w:line="400" w:lineRule="exact"/>
        <w:ind w:firstLineChars="200"/>
        <w:rPr>
          <w:rFonts w:ascii="方正仿宋_GBK" w:eastAsia="方正仿宋_GBK"/>
          <w:sz w:val="24"/>
        </w:rPr>
      </w:pPr>
      <w:r>
        <w:rPr>
          <w:rFonts w:ascii="方正仿宋_GBK" w:eastAsia="方正仿宋_GBK"/>
          <w:sz w:val="24"/>
          <w:szCs w:val="24"/>
        </w:rPr>
        <w:br w:type="page"/>
      </w:r>
      <w:bookmarkEnd w:id="132"/>
      <w:bookmarkStart w:id="133" w:name="_Toc313888363"/>
      <w:bookmarkStart w:id="134" w:name="_Toc76462353"/>
      <w:bookmarkStart w:id="135" w:name="_Toc106030909"/>
      <w:bookmarkStart w:id="136" w:name="_Toc313008359"/>
      <w:bookmarkStart w:id="137" w:name="_Toc342913422"/>
      <w:r>
        <w:rPr>
          <w:rFonts w:hint="eastAsia" w:ascii="方正仿宋_GBK" w:eastAsia="方正仿宋_GBK"/>
          <w:b/>
          <w:bCs/>
          <w:sz w:val="24"/>
        </w:rPr>
        <w:t>四、资格条件</w:t>
      </w:r>
      <w:bookmarkEnd w:id="133"/>
      <w:bookmarkEnd w:id="134"/>
      <w:bookmarkEnd w:id="135"/>
      <w:bookmarkEnd w:id="136"/>
      <w:bookmarkEnd w:id="137"/>
    </w:p>
    <w:p>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snapToGrid w:val="0"/>
        <w:spacing w:line="400" w:lineRule="exact"/>
        <w:ind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jc w:val="right"/>
        <w:rPr>
          <w:rFonts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Chars="3300"/>
        <w:rPr>
          <w:rFonts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pPr>
        <w:tabs>
          <w:tab w:val="left" w:pos="6300"/>
        </w:tabs>
        <w:snapToGrid w:val="0"/>
        <w:spacing w:line="400" w:lineRule="exact"/>
        <w:ind w:firstLineChars="200"/>
        <w:rPr>
          <w:rFonts w:ascii="方正仿宋_GBK" w:hAnsi="宋体" w:eastAsia="方正仿宋_GBK"/>
          <w:sz w:val="24"/>
          <w:szCs w:val="24"/>
        </w:rPr>
      </w:pPr>
    </w:p>
    <w:p>
      <w:pPr>
        <w:pStyle w:val="4"/>
        <w:spacing w:line="400" w:lineRule="exact"/>
        <w:ind w:firstLineChars="200"/>
        <w:rPr>
          <w:rFonts w:ascii="方正仿宋_GBK" w:eastAsia="方正仿宋_GBK"/>
          <w:sz w:val="24"/>
        </w:rPr>
      </w:pPr>
      <w:bookmarkStart w:id="138" w:name="_Toc14422"/>
      <w:r>
        <w:rPr>
          <w:rFonts w:ascii="方正仿宋_GBK" w:eastAsia="方正仿宋_GBK"/>
        </w:rPr>
        <w:br w:type="page"/>
      </w:r>
      <w:bookmarkStart w:id="139" w:name="_Toc106030910"/>
      <w:bookmarkStart w:id="140" w:name="_Toc76462354"/>
      <w:r>
        <w:rPr>
          <w:rFonts w:hint="eastAsia" w:ascii="方正仿宋_GBK" w:eastAsia="方正仿宋_GBK"/>
          <w:b/>
          <w:bCs/>
          <w:sz w:val="24"/>
        </w:rPr>
        <w:t>五、其他资料</w:t>
      </w:r>
      <w:bookmarkEnd w:id="138"/>
      <w:bookmarkEnd w:id="139"/>
      <w:bookmarkEnd w:id="140"/>
    </w:p>
    <w:p>
      <w:pPr>
        <w:tabs>
          <w:tab w:val="left" w:pos="6300"/>
        </w:tabs>
        <w:snapToGrid w:val="0"/>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tabs>
          <w:tab w:val="left" w:pos="6300"/>
        </w:tabs>
        <w:snapToGrid w:val="0"/>
        <w:spacing w:line="500" w:lineRule="exact"/>
        <w:ind w:firstLineChars="200"/>
        <w:jc w:val="center"/>
        <w:rPr>
          <w:rFonts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Chars="200"/>
        <w:rPr>
          <w:rFonts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Chars="200"/>
        <w:rPr>
          <w:rFonts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Chars="2550"/>
        <w:rPr>
          <w:rFonts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Chars="2550"/>
        <w:rPr>
          <w:rFonts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Chars="200"/>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Chars="200"/>
        <w:rPr>
          <w:rFonts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Chars="200"/>
        <w:jc w:val="center"/>
        <w:rPr>
          <w:rFonts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Chars="200"/>
        <w:jc w:val="center"/>
        <w:rPr>
          <w:rFonts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rPr>
          <w:rFonts w:ascii="方正仿宋_GBK" w:hAnsi="仿宋" w:eastAsia="方正仿宋_GBK"/>
          <w:sz w:val="24"/>
        </w:rPr>
      </w:pPr>
    </w:p>
    <w:p>
      <w:pPr>
        <w:tabs>
          <w:tab w:val="left" w:pos="6300"/>
        </w:tabs>
        <w:snapToGrid w:val="0"/>
        <w:spacing w:line="500" w:lineRule="exact"/>
        <w:ind w:firstLineChars="200"/>
        <w:rPr>
          <w:rFonts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Chars="200"/>
        <w:rPr>
          <w:rFonts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p>
    <w:p>
      <w:pPr>
        <w:snapToGrid w:val="0"/>
        <w:spacing w:line="440" w:lineRule="exact"/>
        <w:ind w:firstLineChars="200"/>
        <w:rPr>
          <w:rFonts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Chars="200"/>
        <w:rPr>
          <w:rFonts w:ascii="方正仿宋_GBK" w:hAnsi="仿宋" w:eastAsia="方正仿宋_GBK"/>
          <w:sz w:val="24"/>
        </w:rPr>
      </w:pPr>
    </w:p>
    <w:p>
      <w:pPr>
        <w:snapToGrid w:val="0"/>
        <w:spacing w:line="400" w:lineRule="exact"/>
        <w:ind w:firstLineChars="200"/>
        <w:rPr>
          <w:rFonts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pPr>
        <w:spacing w:line="400" w:lineRule="exact"/>
        <w:ind w:firstLineChars="200"/>
        <w:rPr>
          <w:rFonts w:ascii="方正仿宋_GBK" w:hAnsi="宋体" w:eastAsia="方正仿宋_GBK"/>
          <w:sz w:val="24"/>
          <w:szCs w:val="24"/>
        </w:rPr>
      </w:pPr>
      <w:r>
        <w:rPr>
          <w:rFonts w:hint="eastAsia" w:ascii="方正仿宋_GBK" w:hAnsi="宋体" w:eastAsia="方正仿宋_GBK"/>
          <w:sz w:val="24"/>
          <w:szCs w:val="24"/>
        </w:rPr>
        <w:t>其他与项目有关的资料（自附）：供应商总体情况介绍、其他与本项目有关的资料等。</w:t>
      </w:r>
    </w:p>
    <w:p>
      <w:pPr>
        <w:spacing w:line="360" w:lineRule="auto"/>
        <w:ind w:firstLineChars="200"/>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rPr>
          <w:rFonts w:ascii="方正仿宋_GBK" w:hAnsi="宋体" w:eastAsia="方正仿宋_GBK"/>
          <w:sz w:val="24"/>
          <w:szCs w:val="24"/>
        </w:rPr>
      </w:pPr>
    </w:p>
    <w:p>
      <w:pPr>
        <w:spacing w:line="360" w:lineRule="auto"/>
        <w:ind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pPr>
        <w:spacing w:line="360" w:lineRule="auto"/>
        <w:rPr>
          <w:rFonts w:ascii="仿宋" w:hAnsi="仿宋" w:eastAsia="仿宋" w:cs="仿宋"/>
          <w:sz w:val="24"/>
          <w:szCs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CB932-B9FB-4C3E-92F4-B9B6AC578D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F02CAA7-C74C-44A6-8C32-503D5CF8CF2D}"/>
  </w:font>
  <w:font w:name="方正仿宋_GBK">
    <w:panose1 w:val="03000509000000000000"/>
    <w:charset w:val="86"/>
    <w:family w:val="auto"/>
    <w:pitch w:val="default"/>
    <w:sig w:usb0="00000001" w:usb1="080E0000" w:usb2="00000000" w:usb3="00000000" w:csb0="00040000" w:csb1="00000000"/>
    <w:embedRegular r:id="rId3" w:fontKey="{75373A62-B0B3-4D10-8145-7A71132C5B3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- 5 -</w:t>
                          </w:r>
                          <w:r>
                            <w:rPr>
                              <w:rFonts w:asci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- 5 -</w:t>
                    </w:r>
                    <w:r>
                      <w:rPr>
                        <w:rFonts w:asci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- 20 -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jc w:val="cente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- 20 -</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- 1 -</w:t>
    </w:r>
    <w:r>
      <w:fldChar w:fldCharType="end"/>
    </w:r>
  </w:p>
  <w:p>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- 30 -</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3"/>
                      <w:jc w:val="cente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- 30 -</w:t>
                    </w:r>
                    <w:r>
                      <w:rPr>
                        <w:rFonts w:ascii="宋体" w:hAnsi="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877C3"/>
    <w:multiLevelType w:val="singleLevel"/>
    <w:tmpl w:val="835877C3"/>
    <w:lvl w:ilvl="0" w:tentative="0">
      <w:start w:val="3"/>
      <w:numFmt w:val="chineseCounting"/>
      <w:suff w:val="nothing"/>
      <w:lvlText w:val="（%1）"/>
      <w:lvlJc w:val="left"/>
      <w:rPr>
        <w:rFonts w:hint="eastAsia"/>
      </w:rPr>
    </w:lvl>
  </w:abstractNum>
  <w:abstractNum w:abstractNumId="1">
    <w:nsid w:val="9B20102F"/>
    <w:multiLevelType w:val="singleLevel"/>
    <w:tmpl w:val="9B20102F"/>
    <w:lvl w:ilvl="0" w:tentative="0">
      <w:start w:val="3"/>
      <w:numFmt w:val="chineseCounting"/>
      <w:suff w:val="nothing"/>
      <w:lvlText w:val="（%1）"/>
      <w:lvlJc w:val="left"/>
      <w:rPr>
        <w:rFonts w:hint="eastAsia"/>
      </w:rPr>
    </w:lvl>
  </w:abstractNum>
  <w:abstractNum w:abstractNumId="2">
    <w:nsid w:val="22088D4C"/>
    <w:multiLevelType w:val="singleLevel"/>
    <w:tmpl w:val="22088D4C"/>
    <w:lvl w:ilvl="0" w:tentative="0">
      <w:start w:val="2"/>
      <w:numFmt w:val="chineseCounting"/>
      <w:suff w:val="space"/>
      <w:lvlText w:val="第%1篇"/>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4"/>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E97B210"/>
    <w:multiLevelType w:val="singleLevel"/>
    <w:tmpl w:val="4E97B210"/>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ODg4NGNiNTExY2QzYTNiMzkxNzUxZWFiOWVlNDAifQ=="/>
  </w:docVars>
  <w:rsids>
    <w:rsidRoot w:val="29AA003D"/>
    <w:rsid w:val="00457DA8"/>
    <w:rsid w:val="00671A64"/>
    <w:rsid w:val="007526D6"/>
    <w:rsid w:val="00A13734"/>
    <w:rsid w:val="00AC63AD"/>
    <w:rsid w:val="00BB3CDC"/>
    <w:rsid w:val="00C81D6C"/>
    <w:rsid w:val="00D01278"/>
    <w:rsid w:val="00DC7309"/>
    <w:rsid w:val="00E664CD"/>
    <w:rsid w:val="01A26771"/>
    <w:rsid w:val="02A66735"/>
    <w:rsid w:val="030C0EE1"/>
    <w:rsid w:val="04966335"/>
    <w:rsid w:val="04A16204"/>
    <w:rsid w:val="05BB42A5"/>
    <w:rsid w:val="05EA33DB"/>
    <w:rsid w:val="06500E91"/>
    <w:rsid w:val="06660F64"/>
    <w:rsid w:val="0878329B"/>
    <w:rsid w:val="08BE2115"/>
    <w:rsid w:val="096864F2"/>
    <w:rsid w:val="0A067AB9"/>
    <w:rsid w:val="0A56459C"/>
    <w:rsid w:val="0CA57A5D"/>
    <w:rsid w:val="0CC96F4F"/>
    <w:rsid w:val="0D3A1F53"/>
    <w:rsid w:val="0E15476E"/>
    <w:rsid w:val="0EAC0C2F"/>
    <w:rsid w:val="0EC47987"/>
    <w:rsid w:val="10D12BCF"/>
    <w:rsid w:val="10DD6CA7"/>
    <w:rsid w:val="114E2EBB"/>
    <w:rsid w:val="11652237"/>
    <w:rsid w:val="11A42091"/>
    <w:rsid w:val="12282CC2"/>
    <w:rsid w:val="12CF4CC3"/>
    <w:rsid w:val="12D6271E"/>
    <w:rsid w:val="14ED7BAB"/>
    <w:rsid w:val="14F66546"/>
    <w:rsid w:val="16184DFC"/>
    <w:rsid w:val="175C6F6A"/>
    <w:rsid w:val="177E6544"/>
    <w:rsid w:val="17A74689"/>
    <w:rsid w:val="17B53E4C"/>
    <w:rsid w:val="17D3547E"/>
    <w:rsid w:val="185760AF"/>
    <w:rsid w:val="186B3909"/>
    <w:rsid w:val="19874314"/>
    <w:rsid w:val="19BB266E"/>
    <w:rsid w:val="1A4C59BC"/>
    <w:rsid w:val="1A4E34E2"/>
    <w:rsid w:val="1ADD4133"/>
    <w:rsid w:val="1AF000F5"/>
    <w:rsid w:val="1BAD248A"/>
    <w:rsid w:val="1CD30200"/>
    <w:rsid w:val="1D2402F3"/>
    <w:rsid w:val="1D31488E"/>
    <w:rsid w:val="1D5030CD"/>
    <w:rsid w:val="1D6E17A5"/>
    <w:rsid w:val="1D7E7C3A"/>
    <w:rsid w:val="1EB61656"/>
    <w:rsid w:val="22DF56C1"/>
    <w:rsid w:val="22F4274D"/>
    <w:rsid w:val="230175C4"/>
    <w:rsid w:val="240C0E9A"/>
    <w:rsid w:val="24101808"/>
    <w:rsid w:val="24A563F4"/>
    <w:rsid w:val="2593624D"/>
    <w:rsid w:val="26377520"/>
    <w:rsid w:val="26B96187"/>
    <w:rsid w:val="26F00FE0"/>
    <w:rsid w:val="270C4509"/>
    <w:rsid w:val="275D4D64"/>
    <w:rsid w:val="27CC2383"/>
    <w:rsid w:val="29AA003D"/>
    <w:rsid w:val="29D84B76"/>
    <w:rsid w:val="2AE80DE9"/>
    <w:rsid w:val="2B0379D1"/>
    <w:rsid w:val="2BA74800"/>
    <w:rsid w:val="2CBF201D"/>
    <w:rsid w:val="2CD94E8D"/>
    <w:rsid w:val="2D7050C6"/>
    <w:rsid w:val="2E537885"/>
    <w:rsid w:val="2F3D7B25"/>
    <w:rsid w:val="2F590507"/>
    <w:rsid w:val="2FEC137B"/>
    <w:rsid w:val="303B7C0D"/>
    <w:rsid w:val="329A21B2"/>
    <w:rsid w:val="3348780E"/>
    <w:rsid w:val="337E053C"/>
    <w:rsid w:val="34A57D4B"/>
    <w:rsid w:val="350902DA"/>
    <w:rsid w:val="351B1DBB"/>
    <w:rsid w:val="356A7E4D"/>
    <w:rsid w:val="357339A5"/>
    <w:rsid w:val="36687282"/>
    <w:rsid w:val="36A93B22"/>
    <w:rsid w:val="36DB7A54"/>
    <w:rsid w:val="371A67CE"/>
    <w:rsid w:val="37CB7AC8"/>
    <w:rsid w:val="37EB1F18"/>
    <w:rsid w:val="382316B2"/>
    <w:rsid w:val="382A2423"/>
    <w:rsid w:val="383B79A8"/>
    <w:rsid w:val="385B620E"/>
    <w:rsid w:val="398C14D9"/>
    <w:rsid w:val="3A557B1D"/>
    <w:rsid w:val="3AF630AE"/>
    <w:rsid w:val="3C333E8E"/>
    <w:rsid w:val="3C357F2C"/>
    <w:rsid w:val="3CA32DC2"/>
    <w:rsid w:val="3CB46EA4"/>
    <w:rsid w:val="3D2A34E3"/>
    <w:rsid w:val="3E6D7B2B"/>
    <w:rsid w:val="3F2F3033"/>
    <w:rsid w:val="3F620D12"/>
    <w:rsid w:val="40610FCA"/>
    <w:rsid w:val="40856C3D"/>
    <w:rsid w:val="40B90E06"/>
    <w:rsid w:val="40D519B8"/>
    <w:rsid w:val="41764F49"/>
    <w:rsid w:val="42B775C7"/>
    <w:rsid w:val="42D06FFF"/>
    <w:rsid w:val="438804AC"/>
    <w:rsid w:val="43F87E97"/>
    <w:rsid w:val="442317FF"/>
    <w:rsid w:val="443F5AC6"/>
    <w:rsid w:val="44EE129A"/>
    <w:rsid w:val="460551AF"/>
    <w:rsid w:val="464473C4"/>
    <w:rsid w:val="466C06C8"/>
    <w:rsid w:val="46A6453B"/>
    <w:rsid w:val="47C97D04"/>
    <w:rsid w:val="486C2C02"/>
    <w:rsid w:val="48C400DF"/>
    <w:rsid w:val="49BC54C3"/>
    <w:rsid w:val="4A070E34"/>
    <w:rsid w:val="4A3B6D2F"/>
    <w:rsid w:val="4A720527"/>
    <w:rsid w:val="4ABB577A"/>
    <w:rsid w:val="4ABD14F2"/>
    <w:rsid w:val="4B26353C"/>
    <w:rsid w:val="4B3F3D90"/>
    <w:rsid w:val="4C6A7458"/>
    <w:rsid w:val="4D0E24D9"/>
    <w:rsid w:val="4E683E6B"/>
    <w:rsid w:val="4E6A373F"/>
    <w:rsid w:val="4F3F5BBA"/>
    <w:rsid w:val="4F876573"/>
    <w:rsid w:val="51002139"/>
    <w:rsid w:val="513B7615"/>
    <w:rsid w:val="51515016"/>
    <w:rsid w:val="51B7313F"/>
    <w:rsid w:val="52091747"/>
    <w:rsid w:val="528648C0"/>
    <w:rsid w:val="52CC2C1B"/>
    <w:rsid w:val="52E02222"/>
    <w:rsid w:val="53E06252"/>
    <w:rsid w:val="53F1220D"/>
    <w:rsid w:val="55202DAA"/>
    <w:rsid w:val="56004989"/>
    <w:rsid w:val="57A2219C"/>
    <w:rsid w:val="58496ABB"/>
    <w:rsid w:val="584F1779"/>
    <w:rsid w:val="5886561A"/>
    <w:rsid w:val="58E660B8"/>
    <w:rsid w:val="59753746"/>
    <w:rsid w:val="598633F7"/>
    <w:rsid w:val="5A6A6CBA"/>
    <w:rsid w:val="5A7476F4"/>
    <w:rsid w:val="5AB20948"/>
    <w:rsid w:val="5BB73D3C"/>
    <w:rsid w:val="5C6C2A59"/>
    <w:rsid w:val="5D123747"/>
    <w:rsid w:val="5D380EAD"/>
    <w:rsid w:val="5DF70D68"/>
    <w:rsid w:val="5EF4623C"/>
    <w:rsid w:val="5F4678B1"/>
    <w:rsid w:val="5F5F6BC4"/>
    <w:rsid w:val="5FC44C79"/>
    <w:rsid w:val="603B41E2"/>
    <w:rsid w:val="60E03D35"/>
    <w:rsid w:val="62B252F4"/>
    <w:rsid w:val="632E6FDA"/>
    <w:rsid w:val="64632E37"/>
    <w:rsid w:val="64682077"/>
    <w:rsid w:val="64E77440"/>
    <w:rsid w:val="6694184A"/>
    <w:rsid w:val="66D25B39"/>
    <w:rsid w:val="66F916AD"/>
    <w:rsid w:val="681A18DB"/>
    <w:rsid w:val="683E1A6D"/>
    <w:rsid w:val="68C83A2C"/>
    <w:rsid w:val="696A0640"/>
    <w:rsid w:val="69C77840"/>
    <w:rsid w:val="6A1862EE"/>
    <w:rsid w:val="6A955B90"/>
    <w:rsid w:val="6AAF6C52"/>
    <w:rsid w:val="6B105217"/>
    <w:rsid w:val="6B225676"/>
    <w:rsid w:val="6BD6020E"/>
    <w:rsid w:val="6E906D9A"/>
    <w:rsid w:val="6ED44ED9"/>
    <w:rsid w:val="6F5F0F08"/>
    <w:rsid w:val="6FD44A65"/>
    <w:rsid w:val="70C1148D"/>
    <w:rsid w:val="724203AC"/>
    <w:rsid w:val="72AB37A2"/>
    <w:rsid w:val="72B8066E"/>
    <w:rsid w:val="73296CEA"/>
    <w:rsid w:val="73EA4857"/>
    <w:rsid w:val="74B41A7E"/>
    <w:rsid w:val="75C90D7D"/>
    <w:rsid w:val="75F47C0F"/>
    <w:rsid w:val="764F3AF9"/>
    <w:rsid w:val="76DA32A9"/>
    <w:rsid w:val="76FE0619"/>
    <w:rsid w:val="77020109"/>
    <w:rsid w:val="776261AB"/>
    <w:rsid w:val="783764D9"/>
    <w:rsid w:val="78B40AF1"/>
    <w:rsid w:val="79C71FDC"/>
    <w:rsid w:val="7A5A025C"/>
    <w:rsid w:val="7AE00762"/>
    <w:rsid w:val="7B0D52CF"/>
    <w:rsid w:val="7B22521E"/>
    <w:rsid w:val="7B635E88"/>
    <w:rsid w:val="7B71585E"/>
    <w:rsid w:val="7C482A62"/>
    <w:rsid w:val="7DCA74A7"/>
    <w:rsid w:val="7F912972"/>
    <w:rsid w:val="7FD07284"/>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100" w:beforeLines="100" w:after="50" w:afterLines="50" w:line="800" w:lineRule="atLeast"/>
      <w:jc w:val="center"/>
      <w:outlineLvl w:val="0"/>
    </w:pPr>
    <w:rPr>
      <w:sz w:val="36"/>
    </w:rPr>
  </w:style>
  <w:style w:type="paragraph" w:styleId="4">
    <w:name w:val="heading 2"/>
    <w:basedOn w:val="1"/>
    <w:next w:val="1"/>
    <w:qFormat/>
    <w:uiPriority w:val="0"/>
    <w:pPr>
      <w:keepNext/>
      <w:keepLines/>
      <w:adjustRightInd w:val="0"/>
      <w:snapToGrid w:val="0"/>
      <w:spacing w:line="360" w:lineRule="auto"/>
      <w:jc w:val="left"/>
      <w:outlineLvl w:val="1"/>
    </w:pPr>
    <w:rPr>
      <w:rFonts w:ascii="宋体" w:hAnsi="宋体"/>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next w:val="1"/>
    <w:unhideWhenUsed/>
    <w:qFormat/>
    <w:uiPriority w:val="9"/>
    <w:pPr>
      <w:keepNext/>
      <w:keepLines/>
      <w:spacing w:after="420" w:line="259" w:lineRule="auto"/>
      <w:ind w:left="490" w:hanging="10"/>
      <w:outlineLvl w:val="3"/>
    </w:pPr>
    <w:rPr>
      <w:rFonts w:ascii="Times New Roman" w:hAnsi="Times New Roman" w:eastAsia="Times New Roman" w:cs="Times New Roman"/>
      <w:b/>
      <w:color w:val="000000"/>
      <w:kern w:val="2"/>
      <w:sz w:val="24"/>
      <w:szCs w:val="2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Indent"/>
    <w:basedOn w:val="1"/>
    <w:qFormat/>
    <w:uiPriority w:val="0"/>
    <w:pPr>
      <w:adjustRightInd w:val="0"/>
      <w:snapToGrid w:val="0"/>
      <w:spacing w:line="360" w:lineRule="auto"/>
      <w:ind w:firstLine="420"/>
    </w:pPr>
    <w:rPr>
      <w:sz w:val="24"/>
    </w:rPr>
  </w:style>
  <w:style w:type="paragraph" w:styleId="8">
    <w:name w:val="annotation text"/>
    <w:basedOn w:val="1"/>
    <w:uiPriority w:val="0"/>
    <w:pPr>
      <w:jc w:val="left"/>
    </w:pPr>
  </w:style>
  <w:style w:type="paragraph" w:styleId="9">
    <w:name w:val="Body Text"/>
    <w:basedOn w:val="1"/>
    <w:next w:val="1"/>
    <w:qFormat/>
    <w:uiPriority w:val="0"/>
    <w:rPr>
      <w:rFonts w:ascii="仿宋_GB2312" w:eastAsia="仿宋_GB2312"/>
      <w:sz w:val="32"/>
    </w:rPr>
  </w:style>
  <w:style w:type="paragraph" w:styleId="10">
    <w:name w:val="Body Text Indent"/>
    <w:basedOn w:val="1"/>
    <w:qFormat/>
    <w:uiPriority w:val="0"/>
    <w:pPr>
      <w:spacing w:line="700" w:lineRule="exact"/>
      <w:ind w:left="960"/>
    </w:pPr>
    <w:rPr>
      <w:sz w:val="44"/>
    </w:rPr>
  </w:style>
  <w:style w:type="paragraph" w:styleId="11">
    <w:name w:val="Plain Text"/>
    <w:basedOn w:val="1"/>
    <w:qFormat/>
    <w:uiPriority w:val="0"/>
    <w:rPr>
      <w:rFonts w:ascii="宋体" w:hAnsi="Courier New"/>
      <w:sz w:val="21"/>
    </w:rPr>
  </w:style>
  <w:style w:type="paragraph" w:styleId="12">
    <w:name w:val="Date"/>
    <w:basedOn w:val="1"/>
    <w:next w:val="1"/>
    <w:qFormat/>
    <w:uiPriority w:val="0"/>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spacing w:line="180" w:lineRule="auto"/>
      <w:jc w:val="center"/>
    </w:pPr>
    <w:rPr>
      <w:sz w:val="30"/>
    </w:r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9"/>
    <w:qFormat/>
    <w:uiPriority w:val="0"/>
    <w:pPr>
      <w:spacing w:line="360" w:lineRule="auto"/>
      <w:ind w:firstLine="420"/>
    </w:pPr>
    <w:rPr>
      <w:rFonts w:ascii="宋体" w:hAnsi="宋体" w:eastAsia="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rPr>
      <w:rFonts w:ascii="Times New Roman" w:hAnsi="Times New Roman" w:eastAsia="宋体" w:cs="Times New Roman"/>
    </w:rPr>
  </w:style>
  <w:style w:type="paragraph" w:customStyle="1" w:styleId="2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标题 5（有编号）（绿盟科技）"/>
    <w:basedOn w:val="1"/>
    <w:next w:val="2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7">
    <w:name w:val="标书正文1"/>
    <w:basedOn w:val="1"/>
    <w:qFormat/>
    <w:uiPriority w:val="0"/>
    <w:pPr>
      <w:spacing w:line="520" w:lineRule="exact"/>
      <w:ind w:firstLine="640" w:firstLineChars="200"/>
    </w:pPr>
  </w:style>
  <w:style w:type="table" w:customStyle="1" w:styleId="28">
    <w:name w:val="TableGrid"/>
    <w:qFormat/>
    <w:uiPriority w:val="0"/>
    <w:tblPr>
      <w:tblCellMar>
        <w:top w:w="0" w:type="dxa"/>
        <w:left w:w="0" w:type="dxa"/>
        <w:bottom w:w="0" w:type="dxa"/>
        <w:right w:w="0" w:type="dxa"/>
      </w:tblCellMar>
    </w:tblPr>
  </w:style>
  <w:style w:type="paragraph" w:customStyle="1" w:styleId="29">
    <w:name w:val="图例"/>
    <w:basedOn w:val="1"/>
    <w:qFormat/>
    <w:uiPriority w:val="0"/>
    <w:pPr>
      <w:spacing w:before="120" w:after="120" w:line="360" w:lineRule="auto"/>
      <w:jc w:val="center"/>
    </w:pPr>
    <w:rPr>
      <w:rFonts w:eastAsia="仿宋_GB2312"/>
      <w:b/>
      <w:sz w:val="24"/>
    </w:rPr>
  </w:style>
  <w:style w:type="paragraph" w:customStyle="1" w:styleId="30">
    <w:name w:val="1"/>
    <w:basedOn w:val="1"/>
    <w:next w:val="11"/>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16155</Words>
  <Characters>16924</Characters>
  <Lines>142</Lines>
  <Paragraphs>40</Paragraphs>
  <TotalTime>94</TotalTime>
  <ScaleCrop>false</ScaleCrop>
  <LinksUpToDate>false</LinksUpToDate>
  <CharactersWithSpaces>18374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2022-12-01T03:58:00Z</dcterms:created>
  <dc:creator>晓</dc:creator>
  <cp:lastModifiedBy>四字弟弟</cp:lastModifiedBy>
  <dcterms:modified xsi:type="dcterms:W3CDTF">2023-03-31T01:23:02Z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5F9EE582C7214CB59318A2289A6406BE</vt:lpwstr>
  </property>
</Properties>
</file>