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36"/>
          <w:szCs w:val="36"/>
        </w:rPr>
      </w:pPr>
      <w:r>
        <w:rPr>
          <w:rFonts w:hint="eastAsia" w:ascii="仿宋" w:hAnsi="仿宋" w:eastAsia="仿宋"/>
          <w:b/>
          <w:bCs/>
          <w:sz w:val="36"/>
          <w:szCs w:val="36"/>
        </w:rPr>
        <w:t>202</w:t>
      </w:r>
      <w:r>
        <w:rPr>
          <w:rFonts w:hint="eastAsia" w:ascii="仿宋" w:hAnsi="仿宋" w:eastAsia="仿宋"/>
          <w:b/>
          <w:bCs/>
          <w:sz w:val="36"/>
          <w:szCs w:val="36"/>
          <w:lang w:val="en-US" w:eastAsia="zh-CN"/>
        </w:rPr>
        <w:t>1</w:t>
      </w:r>
      <w:r>
        <w:rPr>
          <w:rFonts w:hint="eastAsia" w:ascii="仿宋" w:hAnsi="仿宋" w:eastAsia="仿宋"/>
          <w:b/>
          <w:bCs/>
          <w:sz w:val="36"/>
          <w:szCs w:val="36"/>
        </w:rPr>
        <w:t>年“巴渝工匠”杯第十</w:t>
      </w:r>
      <w:r>
        <w:rPr>
          <w:rFonts w:hint="eastAsia" w:ascii="仿宋" w:hAnsi="仿宋" w:eastAsia="仿宋"/>
          <w:b/>
          <w:bCs/>
          <w:sz w:val="36"/>
          <w:szCs w:val="36"/>
          <w:lang w:val="en-US" w:eastAsia="zh-CN"/>
        </w:rPr>
        <w:t>四</w:t>
      </w:r>
      <w:r>
        <w:rPr>
          <w:rFonts w:hint="eastAsia" w:ascii="仿宋" w:hAnsi="仿宋" w:eastAsia="仿宋"/>
          <w:b/>
          <w:bCs/>
          <w:sz w:val="36"/>
          <w:szCs w:val="36"/>
        </w:rPr>
        <w:t>届重庆市高职院校</w:t>
      </w:r>
    </w:p>
    <w:p>
      <w:pPr>
        <w:jc w:val="center"/>
        <w:rPr>
          <w:rFonts w:ascii="仿宋" w:hAnsi="仿宋" w:eastAsia="仿宋"/>
          <w:b/>
          <w:bCs/>
          <w:sz w:val="36"/>
          <w:szCs w:val="36"/>
        </w:rPr>
      </w:pPr>
      <w:r>
        <w:rPr>
          <w:rFonts w:hint="eastAsia" w:ascii="仿宋" w:hAnsi="仿宋" w:eastAsia="仿宋"/>
          <w:b/>
          <w:bCs/>
          <w:sz w:val="36"/>
          <w:szCs w:val="36"/>
        </w:rPr>
        <w:t>学生技能大赛</w:t>
      </w:r>
    </w:p>
    <w:p>
      <w:pPr>
        <w:jc w:val="center"/>
        <w:rPr>
          <w:rFonts w:ascii="仿宋" w:hAnsi="仿宋" w:eastAsia="仿宋"/>
          <w:b/>
          <w:bCs/>
          <w:sz w:val="36"/>
          <w:szCs w:val="36"/>
        </w:rPr>
      </w:pPr>
    </w:p>
    <w:p>
      <w:pPr>
        <w:spacing w:line="720" w:lineRule="auto"/>
        <w:ind w:left="210" w:leftChars="100"/>
        <w:jc w:val="center"/>
        <w:rPr>
          <w:rFonts w:ascii="仿宋" w:hAnsi="仿宋" w:eastAsia="仿宋"/>
          <w:b/>
          <w:bCs/>
          <w:sz w:val="48"/>
          <w:szCs w:val="56"/>
        </w:rPr>
      </w:pPr>
      <w:r>
        <w:rPr>
          <w:rFonts w:hint="eastAsia" w:ascii="仿宋" w:hAnsi="仿宋" w:eastAsia="仿宋"/>
          <w:b/>
          <w:bCs/>
          <w:sz w:val="48"/>
          <w:szCs w:val="56"/>
        </w:rPr>
        <w:t>互联网+国际贸易综合技能</w:t>
      </w:r>
    </w:p>
    <w:p>
      <w:pPr>
        <w:spacing w:line="720" w:lineRule="auto"/>
        <w:ind w:left="210" w:leftChars="100"/>
        <w:jc w:val="center"/>
        <w:rPr>
          <w:rFonts w:ascii="仿宋" w:hAnsi="仿宋" w:eastAsia="仿宋"/>
          <w:b/>
          <w:bCs/>
          <w:sz w:val="36"/>
          <w:szCs w:val="56"/>
        </w:rPr>
      </w:pPr>
    </w:p>
    <w:p>
      <w:pPr>
        <w:spacing w:line="720" w:lineRule="auto"/>
        <w:ind w:left="210" w:leftChars="100"/>
        <w:jc w:val="center"/>
        <w:rPr>
          <w:rFonts w:ascii="仿宋" w:hAnsi="仿宋" w:eastAsia="仿宋"/>
          <w:b/>
          <w:bCs/>
          <w:sz w:val="48"/>
          <w:szCs w:val="56"/>
        </w:rPr>
      </w:pPr>
    </w:p>
    <w:p>
      <w:pPr>
        <w:spacing w:line="720" w:lineRule="auto"/>
        <w:ind w:left="210" w:leftChars="100"/>
        <w:jc w:val="center"/>
        <w:rPr>
          <w:rFonts w:ascii="仿宋" w:hAnsi="仿宋" w:eastAsia="仿宋"/>
          <w:b/>
          <w:bCs/>
          <w:sz w:val="48"/>
          <w:szCs w:val="56"/>
        </w:rPr>
      </w:pPr>
      <w:r>
        <w:rPr>
          <w:rFonts w:hint="eastAsia" w:ascii="仿宋" w:hAnsi="仿宋" w:eastAsia="仿宋"/>
          <w:b/>
          <w:bCs/>
          <w:sz w:val="48"/>
          <w:szCs w:val="56"/>
        </w:rPr>
        <w:t>竞赛规程</w:t>
      </w:r>
    </w:p>
    <w:p>
      <w:pPr>
        <w:jc w:val="center"/>
        <w:rPr>
          <w:b/>
          <w:bCs/>
          <w:sz w:val="48"/>
          <w:szCs w:val="56"/>
        </w:rPr>
      </w:pPr>
    </w:p>
    <w:p>
      <w:pPr>
        <w:jc w:val="center"/>
        <w:rPr>
          <w:b/>
          <w:bCs/>
          <w:sz w:val="48"/>
          <w:szCs w:val="56"/>
        </w:rPr>
      </w:pPr>
    </w:p>
    <w:p>
      <w:pPr>
        <w:jc w:val="center"/>
        <w:rPr>
          <w:b/>
          <w:bCs/>
          <w:sz w:val="48"/>
          <w:szCs w:val="56"/>
        </w:rPr>
      </w:pPr>
    </w:p>
    <w:p>
      <w:pPr>
        <w:jc w:val="center"/>
        <w:rPr>
          <w:b/>
          <w:bCs/>
          <w:sz w:val="40"/>
          <w:szCs w:val="48"/>
        </w:rPr>
      </w:pPr>
    </w:p>
    <w:p>
      <w:pPr>
        <w:rPr>
          <w:b/>
          <w:bCs/>
          <w:sz w:val="40"/>
          <w:szCs w:val="48"/>
        </w:rPr>
      </w:pPr>
    </w:p>
    <w:p>
      <w:pPr>
        <w:jc w:val="center"/>
        <w:rPr>
          <w:b/>
          <w:bCs/>
          <w:sz w:val="36"/>
          <w:szCs w:val="44"/>
        </w:rPr>
      </w:pPr>
    </w:p>
    <w:p>
      <w:pPr>
        <w:rPr>
          <w:b/>
          <w:bCs/>
          <w:sz w:val="32"/>
          <w:szCs w:val="40"/>
        </w:rPr>
      </w:pPr>
    </w:p>
    <w:p>
      <w:pPr>
        <w:rPr>
          <w:b/>
          <w:bCs/>
          <w:sz w:val="32"/>
          <w:szCs w:val="40"/>
        </w:rPr>
      </w:pPr>
    </w:p>
    <w:p>
      <w:pPr>
        <w:rPr>
          <w:b/>
          <w:bCs/>
          <w:sz w:val="32"/>
          <w:szCs w:val="40"/>
        </w:rPr>
      </w:pPr>
    </w:p>
    <w:p>
      <w:pPr>
        <w:rPr>
          <w:b/>
          <w:bCs/>
          <w:sz w:val="32"/>
          <w:szCs w:val="40"/>
        </w:rPr>
      </w:pPr>
    </w:p>
    <w:p>
      <w:pPr>
        <w:jc w:val="center"/>
        <w:rPr>
          <w:rFonts w:ascii="Times New Roman" w:hAnsi="Times New Roman" w:eastAsia="仿宋"/>
          <w:b/>
          <w:bCs/>
          <w:sz w:val="32"/>
          <w:szCs w:val="40"/>
        </w:rPr>
      </w:pPr>
      <w:r>
        <w:rPr>
          <w:rFonts w:ascii="Times New Roman" w:hAnsi="Times New Roman" w:eastAsia="仿宋"/>
          <w:b/>
          <w:bCs/>
          <w:sz w:val="32"/>
          <w:szCs w:val="40"/>
        </w:rPr>
        <w:t xml:space="preserve"> 202</w:t>
      </w:r>
      <w:r>
        <w:rPr>
          <w:rFonts w:hint="eastAsia" w:ascii="Times New Roman" w:hAnsi="Times New Roman" w:eastAsia="仿宋"/>
          <w:b/>
          <w:bCs/>
          <w:sz w:val="32"/>
          <w:szCs w:val="40"/>
          <w:lang w:val="en-US" w:eastAsia="zh-CN"/>
        </w:rPr>
        <w:t>1</w:t>
      </w:r>
      <w:r>
        <w:rPr>
          <w:rFonts w:ascii="Times New Roman" w:hAnsi="Times New Roman" w:eastAsia="仿宋"/>
          <w:b/>
          <w:bCs/>
          <w:sz w:val="32"/>
          <w:szCs w:val="40"/>
        </w:rPr>
        <w:t>年</w:t>
      </w:r>
      <w:r>
        <w:rPr>
          <w:rFonts w:hint="eastAsia" w:ascii="Times New Roman" w:hAnsi="Times New Roman" w:eastAsia="仿宋"/>
          <w:b/>
          <w:bCs/>
          <w:sz w:val="32"/>
          <w:szCs w:val="40"/>
          <w:lang w:val="en-US" w:eastAsia="zh-CN"/>
        </w:rPr>
        <w:t>4</w:t>
      </w:r>
      <w:r>
        <w:rPr>
          <w:rFonts w:ascii="Times New Roman" w:hAnsi="Times New Roman" w:eastAsia="仿宋"/>
          <w:b/>
          <w:bCs/>
          <w:sz w:val="32"/>
          <w:szCs w:val="40"/>
        </w:rPr>
        <w:t>月</w:t>
      </w:r>
    </w:p>
    <w:p>
      <w:pPr>
        <w:spacing w:line="560" w:lineRule="exact"/>
        <w:ind w:firstLine="200"/>
        <w:rPr>
          <w:rFonts w:ascii="仿宋" w:hAnsi="仿宋" w:eastAsia="仿宋"/>
          <w:b/>
          <w:sz w:val="30"/>
          <w:szCs w:val="30"/>
        </w:rPr>
      </w:pPr>
    </w:p>
    <w:p>
      <w:pPr>
        <w:spacing w:line="560" w:lineRule="exact"/>
        <w:ind w:firstLine="200"/>
        <w:rPr>
          <w:rFonts w:ascii="仿宋" w:hAnsi="仿宋" w:eastAsia="仿宋"/>
          <w:b/>
          <w:sz w:val="30"/>
          <w:szCs w:val="30"/>
        </w:rPr>
      </w:pPr>
    </w:p>
    <w:p>
      <w:pPr>
        <w:outlineLvl w:val="0"/>
        <w:rPr>
          <w:rFonts w:hint="eastAsia" w:ascii="仿宋" w:hAnsi="仿宋" w:eastAsia="仿宋" w:cs="宋体"/>
          <w:b/>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0" w:name="_Toc61004411"/>
    </w:p>
    <w:p>
      <w:pPr>
        <w:outlineLvl w:val="0"/>
        <w:rPr>
          <w:rFonts w:ascii="仿宋" w:hAnsi="仿宋" w:eastAsia="仿宋" w:cs="宋体"/>
          <w:b/>
          <w:sz w:val="28"/>
          <w:szCs w:val="28"/>
        </w:rPr>
      </w:pPr>
      <w:r>
        <w:rPr>
          <w:rFonts w:hint="eastAsia" w:ascii="仿宋" w:hAnsi="仿宋" w:eastAsia="仿宋" w:cs="宋体"/>
          <w:b/>
          <w:sz w:val="28"/>
          <w:szCs w:val="28"/>
        </w:rPr>
        <w:t>一、竞赛名称</w:t>
      </w:r>
      <w:bookmarkEnd w:id="0"/>
    </w:p>
    <w:p>
      <w:pPr>
        <w:spacing w:line="360" w:lineRule="auto"/>
        <w:ind w:firstLine="600" w:firstLineChars="200"/>
        <w:rPr>
          <w:rFonts w:ascii="仿宋" w:hAnsi="仿宋" w:eastAsia="仿宋" w:cs="宋体"/>
          <w:sz w:val="30"/>
          <w:szCs w:val="30"/>
          <w:u w:val="single"/>
        </w:rPr>
      </w:pPr>
      <w:r>
        <w:rPr>
          <w:rFonts w:hint="eastAsia" w:ascii="仿宋" w:hAnsi="仿宋" w:eastAsia="仿宋" w:cs="宋体"/>
          <w:sz w:val="30"/>
          <w:szCs w:val="30"/>
        </w:rPr>
        <w:t>赛项名称：互联网+国际贸易综合技能</w:t>
      </w:r>
    </w:p>
    <w:p>
      <w:pPr>
        <w:spacing w:line="360" w:lineRule="auto"/>
        <w:ind w:firstLine="600" w:firstLineChars="200"/>
        <w:rPr>
          <w:rFonts w:ascii="Arial Narrow" w:hAnsi="Arial Narrow" w:eastAsia="仿宋_GB2312" w:cs="宋体"/>
          <w:sz w:val="30"/>
          <w:szCs w:val="30"/>
          <w:u w:val="single"/>
        </w:rPr>
      </w:pPr>
      <w:r>
        <w:rPr>
          <w:rFonts w:ascii="仿宋" w:hAnsi="仿宋" w:eastAsia="仿宋"/>
          <w:sz w:val="30"/>
          <w:szCs w:val="30"/>
        </w:rPr>
        <w:t>英文名称：</w:t>
      </w:r>
      <w:r>
        <w:rPr>
          <w:rFonts w:ascii="Arial Narrow" w:hAnsi="Arial Narrow" w:eastAsia="仿宋_GB2312" w:cs="宋体"/>
          <w:sz w:val="30"/>
          <w:szCs w:val="30"/>
        </w:rPr>
        <w:t>Internet Plus Integrated Skills in International Trade</w:t>
      </w:r>
    </w:p>
    <w:p>
      <w:pPr>
        <w:spacing w:line="360" w:lineRule="auto"/>
        <w:ind w:firstLine="600" w:firstLineChars="200"/>
        <w:rPr>
          <w:rFonts w:ascii="仿宋" w:hAnsi="仿宋" w:eastAsia="仿宋"/>
          <w:sz w:val="30"/>
          <w:szCs w:val="30"/>
        </w:rPr>
      </w:pPr>
      <w:r>
        <w:rPr>
          <w:rFonts w:ascii="仿宋" w:hAnsi="仿宋" w:eastAsia="仿宋"/>
          <w:sz w:val="30"/>
          <w:szCs w:val="30"/>
        </w:rPr>
        <w:t>赛项组别：高职</w:t>
      </w:r>
    </w:p>
    <w:p>
      <w:pPr>
        <w:spacing w:line="360" w:lineRule="auto"/>
        <w:ind w:firstLine="600" w:firstLineChars="200"/>
        <w:rPr>
          <w:rFonts w:ascii="仿宋" w:hAnsi="仿宋" w:eastAsia="仿宋"/>
          <w:sz w:val="28"/>
          <w:szCs w:val="28"/>
        </w:rPr>
      </w:pPr>
      <w:r>
        <w:rPr>
          <w:rFonts w:ascii="仿宋" w:hAnsi="仿宋" w:eastAsia="仿宋"/>
          <w:sz w:val="30"/>
          <w:szCs w:val="30"/>
        </w:rPr>
        <w:t>赛项归属产业：现代服务业</w:t>
      </w:r>
    </w:p>
    <w:p>
      <w:pPr>
        <w:outlineLvl w:val="0"/>
        <w:rPr>
          <w:rFonts w:ascii="仿宋" w:hAnsi="仿宋" w:eastAsia="仿宋" w:cs="宋体"/>
          <w:b/>
          <w:sz w:val="28"/>
          <w:szCs w:val="28"/>
        </w:rPr>
      </w:pPr>
      <w:bookmarkStart w:id="1" w:name="_Toc61004412"/>
      <w:r>
        <w:rPr>
          <w:rFonts w:hint="eastAsia" w:ascii="仿宋" w:hAnsi="仿宋" w:eastAsia="仿宋" w:cs="宋体"/>
          <w:b/>
          <w:sz w:val="28"/>
          <w:szCs w:val="28"/>
        </w:rPr>
        <w:t>二、竞赛目的</w:t>
      </w:r>
      <w:bookmarkEnd w:id="1"/>
    </w:p>
    <w:p>
      <w:pPr>
        <w:spacing w:line="360" w:lineRule="auto"/>
        <w:ind w:firstLine="560" w:firstLineChars="200"/>
        <w:rPr>
          <w:rFonts w:ascii="仿宋" w:hAnsi="仿宋" w:eastAsia="仿宋"/>
          <w:sz w:val="28"/>
          <w:szCs w:val="28"/>
        </w:rPr>
      </w:pPr>
      <w:r>
        <w:rPr>
          <w:rFonts w:hint="eastAsia" w:ascii="仿宋" w:hAnsi="仿宋" w:eastAsia="仿宋"/>
          <w:sz w:val="28"/>
          <w:szCs w:val="28"/>
        </w:rPr>
        <w:t>本赛项以服务“构建国内国际双循环相互促进的新发展格局”为目标，以助力“一带一路”建设为核心，以国际贸易最新业态发展为驱动，瞄准世界高水平的国际贸易行业技能，在检验教学成果的同时，搭建专业、课程、培养机制改革平台，促进专业建设、教学改革的深入进行，切实提高教学质量和人才培养水平。</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赛项设计充分发挥技能大赛对高校专业建设的促进和引领作用，以高难度的竞赛内容为要求，实现对学生的团队协同创新能力、沟通能力、尽责抗压能力及专业岗位能力的综合检验；以高水平的技能竞赛质量为杠杆，努力营造全社会崇尚技能的氛围；以高标准的竞赛模式为抓手，全面推行“教、学、做、练、赛”一体化教学模式，提高全国高校学生的参与度，为“互联网+”背景下国际贸易教育教学改革提供了新的思路与方向。以此为基础，探索建立适应国际贸易新形势下的世界高水平职业岗位标准，为院校教学课程设置及岗位职业能力培养提供有效依据,从而实现产教深度融合，在高校和行业中营造尊重技能、崇尚技能的浓厚氛围。</w:t>
      </w:r>
    </w:p>
    <w:p>
      <w:pPr>
        <w:numPr>
          <w:ilvl w:val="0"/>
          <w:numId w:val="1"/>
        </w:numPr>
        <w:outlineLvl w:val="0"/>
        <w:rPr>
          <w:rFonts w:hint="eastAsia" w:ascii="仿宋" w:hAnsi="仿宋" w:eastAsia="仿宋" w:cs="宋体"/>
          <w:b/>
          <w:sz w:val="28"/>
          <w:szCs w:val="28"/>
        </w:rPr>
      </w:pPr>
      <w:bookmarkStart w:id="2" w:name="_Toc61004413"/>
      <w:r>
        <w:rPr>
          <w:rFonts w:hint="eastAsia" w:ascii="仿宋" w:hAnsi="仿宋" w:eastAsia="仿宋" w:cs="宋体"/>
          <w:b/>
          <w:sz w:val="28"/>
          <w:szCs w:val="28"/>
        </w:rPr>
        <w:t>竞赛内容</w:t>
      </w:r>
      <w:bookmarkEnd w:id="2"/>
    </w:p>
    <w:p>
      <w:pPr>
        <w:spacing w:line="360" w:lineRule="auto"/>
        <w:ind w:firstLine="560" w:firstLineChars="200"/>
        <w:outlineLvl w:val="0"/>
        <w:rPr>
          <w:rFonts w:ascii="仿宋" w:hAnsi="仿宋" w:eastAsia="仿宋"/>
          <w:sz w:val="28"/>
          <w:szCs w:val="28"/>
        </w:rPr>
      </w:pPr>
      <w:r>
        <w:rPr>
          <w:rFonts w:hint="eastAsia" w:ascii="仿宋" w:hAnsi="仿宋" w:eastAsia="仿宋"/>
          <w:sz w:val="28"/>
          <w:szCs w:val="28"/>
        </w:rPr>
        <w:t>（一）竞赛内容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本竞赛分为外贸B2B模块、外贸B2C模块两项内容。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外贸B2B模块：各参赛院校选手通过外贸B2B平台推广公司和产品，带来业务机会，并与模拟其他国家（或地区）公司的选手磋商交易，业务操作至合同签订为止。选手需在规定时间内争取尽量多的业务机会，体现业务多样性，同时还必须做好每笔业务的成本核算，实现利润最大化。</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外贸B2C模块：各参赛院校选手通过外贸B2C数据运营推广公司和产品，以努力提升公司的投资回报率（ROI）为目标，以回合制竞争博弈为形式，对国际市场环境数据和公司运营结果数据进行挖掘与分析，完成外销产品开发、国内采购、产品上下架、国际市场定价、引流、国际物流配送、国际支付、财务管理等各个运营环节的决策实施，并且在逐次展开的回合中不断优化本公司的数据运营战略与决策。考察选手外贸B2C数据运营的需求意识、成本意识、风险意识、利润意识、竞争意识及数据挖掘分析能力和运营决策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竞赛内容详见表1。</w:t>
      </w:r>
    </w:p>
    <w:p>
      <w:pPr>
        <w:spacing w:line="560" w:lineRule="exact"/>
        <w:jc w:val="center"/>
        <w:rPr>
          <w:rFonts w:ascii="仿宋" w:hAnsi="仿宋" w:eastAsia="仿宋" w:cs="宋体"/>
          <w:sz w:val="24"/>
          <w:szCs w:val="30"/>
        </w:rPr>
      </w:pPr>
      <w:r>
        <w:rPr>
          <w:rFonts w:hint="eastAsia" w:ascii="仿宋" w:hAnsi="仿宋" w:eastAsia="仿宋" w:cs="宋体"/>
          <w:sz w:val="24"/>
          <w:szCs w:val="30"/>
        </w:rPr>
        <w:t>表1 “互联网+国际贸易综合技能”竞赛内容与时长</w:t>
      </w:r>
    </w:p>
    <w:tbl>
      <w:tblPr>
        <w:tblStyle w:val="8"/>
        <w:tblW w:w="8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3"/>
        <w:gridCol w:w="974"/>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jc w:val="center"/>
        </w:trPr>
        <w:tc>
          <w:tcPr>
            <w:tcW w:w="5813" w:type="dxa"/>
            <w:vAlign w:val="center"/>
          </w:tcPr>
          <w:p>
            <w:pPr>
              <w:spacing w:line="560" w:lineRule="exact"/>
              <w:jc w:val="center"/>
              <w:rPr>
                <w:rFonts w:ascii="仿宋" w:hAnsi="仿宋" w:eastAsia="仿宋"/>
                <w:b/>
                <w:sz w:val="24"/>
              </w:rPr>
            </w:pPr>
            <w:r>
              <w:rPr>
                <w:rFonts w:hint="eastAsia" w:ascii="仿宋" w:hAnsi="仿宋" w:eastAsia="仿宋"/>
                <w:b/>
                <w:sz w:val="24"/>
              </w:rPr>
              <w:t>比赛内容</w:t>
            </w:r>
          </w:p>
        </w:tc>
        <w:tc>
          <w:tcPr>
            <w:tcW w:w="974" w:type="dxa"/>
            <w:vAlign w:val="center"/>
          </w:tcPr>
          <w:p>
            <w:pPr>
              <w:spacing w:line="560" w:lineRule="exact"/>
              <w:jc w:val="center"/>
              <w:rPr>
                <w:rFonts w:ascii="仿宋" w:hAnsi="仿宋" w:eastAsia="仿宋"/>
                <w:b/>
                <w:sz w:val="24"/>
              </w:rPr>
            </w:pPr>
            <w:r>
              <w:rPr>
                <w:rFonts w:hint="eastAsia" w:ascii="仿宋" w:hAnsi="仿宋" w:eastAsia="仿宋"/>
                <w:b/>
                <w:sz w:val="24"/>
              </w:rPr>
              <w:t>比重</w:t>
            </w:r>
          </w:p>
        </w:tc>
        <w:tc>
          <w:tcPr>
            <w:tcW w:w="1393" w:type="dxa"/>
            <w:vAlign w:val="center"/>
          </w:tcPr>
          <w:p>
            <w:pPr>
              <w:spacing w:line="560" w:lineRule="exact"/>
              <w:jc w:val="center"/>
              <w:rPr>
                <w:rFonts w:ascii="仿宋" w:hAnsi="仿宋" w:eastAsia="仿宋"/>
                <w:b/>
                <w:sz w:val="24"/>
              </w:rPr>
            </w:pPr>
            <w:r>
              <w:rPr>
                <w:rFonts w:hint="eastAsia" w:ascii="仿宋" w:hAnsi="仿宋" w:eastAsia="仿宋"/>
                <w:b/>
                <w:sz w:val="24"/>
              </w:rPr>
              <w:t>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blHeader/>
          <w:jc w:val="center"/>
        </w:trPr>
        <w:tc>
          <w:tcPr>
            <w:tcW w:w="5813" w:type="dxa"/>
            <w:vAlign w:val="center"/>
          </w:tcPr>
          <w:p>
            <w:pPr>
              <w:rPr>
                <w:rFonts w:ascii="仿宋" w:hAnsi="仿宋" w:eastAsia="仿宋"/>
                <w:sz w:val="24"/>
              </w:rPr>
            </w:pPr>
            <w:r>
              <w:rPr>
                <w:rFonts w:hint="eastAsia" w:ascii="仿宋" w:hAnsi="仿宋" w:eastAsia="仿宋"/>
                <w:sz w:val="24"/>
              </w:rPr>
              <w:t>外贸B2B模块：基于B2B跨境平台的产品展示、营销推广、进出口价格核算、成本控制、贸易磋商和合同签订。</w:t>
            </w:r>
          </w:p>
        </w:tc>
        <w:tc>
          <w:tcPr>
            <w:tcW w:w="974" w:type="dxa"/>
            <w:vAlign w:val="center"/>
          </w:tcPr>
          <w:p>
            <w:pPr>
              <w:spacing w:line="560" w:lineRule="exact"/>
              <w:jc w:val="center"/>
              <w:rPr>
                <w:rFonts w:ascii="仿宋" w:hAnsi="仿宋" w:eastAsia="仿宋"/>
                <w:sz w:val="24"/>
              </w:rPr>
            </w:pPr>
            <w:r>
              <w:rPr>
                <w:rFonts w:hint="eastAsia" w:ascii="仿宋" w:hAnsi="仿宋" w:eastAsia="仿宋"/>
                <w:sz w:val="24"/>
              </w:rPr>
              <w:t>50%</w:t>
            </w:r>
          </w:p>
        </w:tc>
        <w:tc>
          <w:tcPr>
            <w:tcW w:w="1393" w:type="dxa"/>
            <w:vAlign w:val="center"/>
          </w:tcPr>
          <w:p>
            <w:pPr>
              <w:spacing w:line="560" w:lineRule="exact"/>
              <w:jc w:val="center"/>
              <w:rPr>
                <w:rFonts w:ascii="仿宋" w:hAnsi="仿宋" w:eastAsia="仿宋"/>
                <w:sz w:val="24"/>
              </w:rPr>
            </w:pPr>
            <w:r>
              <w:rPr>
                <w:rFonts w:hint="eastAsia" w:ascii="仿宋" w:hAnsi="仿宋" w:eastAsia="仿宋"/>
                <w:sz w:val="24"/>
              </w:rPr>
              <w:t>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blHeader/>
          <w:jc w:val="center"/>
        </w:trPr>
        <w:tc>
          <w:tcPr>
            <w:tcW w:w="5813" w:type="dxa"/>
            <w:vAlign w:val="center"/>
          </w:tcPr>
          <w:p>
            <w:pPr>
              <w:rPr>
                <w:rFonts w:ascii="仿宋" w:hAnsi="仿宋" w:eastAsia="仿宋"/>
                <w:sz w:val="24"/>
              </w:rPr>
            </w:pPr>
            <w:r>
              <w:rPr>
                <w:rFonts w:hint="eastAsia" w:ascii="仿宋" w:hAnsi="仿宋" w:eastAsia="仿宋"/>
                <w:sz w:val="24"/>
              </w:rPr>
              <w:t>外贸B2C模块：基于外贸B2C数据挖掘及分析，开展商品开发及采购、营销推广、价格核算、国际物流管理、财务管理等运营活动。</w:t>
            </w:r>
          </w:p>
        </w:tc>
        <w:tc>
          <w:tcPr>
            <w:tcW w:w="974" w:type="dxa"/>
            <w:vAlign w:val="center"/>
          </w:tcPr>
          <w:p>
            <w:pPr>
              <w:spacing w:line="560" w:lineRule="exact"/>
              <w:jc w:val="center"/>
              <w:rPr>
                <w:rFonts w:ascii="仿宋" w:hAnsi="仿宋" w:eastAsia="仿宋"/>
                <w:sz w:val="24"/>
              </w:rPr>
            </w:pPr>
            <w:r>
              <w:rPr>
                <w:rFonts w:hint="eastAsia" w:ascii="仿宋" w:hAnsi="仿宋" w:eastAsia="仿宋"/>
                <w:sz w:val="24"/>
              </w:rPr>
              <w:t>50%</w:t>
            </w:r>
          </w:p>
        </w:tc>
        <w:tc>
          <w:tcPr>
            <w:tcW w:w="1393" w:type="dxa"/>
            <w:vAlign w:val="center"/>
          </w:tcPr>
          <w:p>
            <w:pPr>
              <w:spacing w:line="560" w:lineRule="exact"/>
              <w:jc w:val="center"/>
              <w:rPr>
                <w:rFonts w:ascii="仿宋" w:hAnsi="仿宋" w:eastAsia="仿宋"/>
                <w:sz w:val="24"/>
              </w:rPr>
            </w:pPr>
            <w:r>
              <w:rPr>
                <w:rFonts w:hint="eastAsia" w:ascii="仿宋" w:hAnsi="仿宋" w:eastAsia="仿宋"/>
                <w:sz w:val="24"/>
              </w:rPr>
              <w:t>5小时</w:t>
            </w:r>
          </w:p>
        </w:tc>
      </w:tr>
    </w:tbl>
    <w:p>
      <w:pPr>
        <w:spacing w:line="360" w:lineRule="auto"/>
        <w:ind w:firstLine="560" w:firstLineChars="200"/>
        <w:outlineLvl w:val="0"/>
        <w:rPr>
          <w:rFonts w:ascii="仿宋" w:hAnsi="仿宋" w:eastAsia="仿宋"/>
          <w:sz w:val="28"/>
          <w:szCs w:val="28"/>
        </w:rPr>
      </w:pPr>
      <w:r>
        <w:rPr>
          <w:rFonts w:hint="eastAsia" w:ascii="仿宋" w:hAnsi="仿宋" w:eastAsia="仿宋"/>
          <w:sz w:val="28"/>
          <w:szCs w:val="28"/>
        </w:rPr>
        <w:t>（二）竞赛方案</w:t>
      </w:r>
    </w:p>
    <w:p>
      <w:pPr>
        <w:spacing w:line="360" w:lineRule="auto"/>
        <w:ind w:firstLine="560" w:firstLineChars="200"/>
        <w:outlineLvl w:val="0"/>
        <w:rPr>
          <w:rFonts w:ascii="仿宋" w:hAnsi="仿宋" w:eastAsia="仿宋"/>
          <w:sz w:val="28"/>
          <w:szCs w:val="28"/>
        </w:rPr>
      </w:pPr>
      <w:r>
        <w:rPr>
          <w:rFonts w:hint="eastAsia" w:ascii="仿宋" w:hAnsi="仿宋" w:eastAsia="仿宋"/>
          <w:sz w:val="28"/>
          <w:szCs w:val="28"/>
        </w:rPr>
        <w:t>1. 外贸B2B模块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（1）竞赛方式为上机竞赛；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（2）竞赛总时间为4小时；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（3）竞赛形式为模拟不同国家间进行进出口贸易。每个参赛队的2组选手通过组内2名选手的团队合作，与其他参赛队伍开展进出口贸易；</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（4）选手需完成B2B跨境平台推广、进出口交易磋商、进出口业务成本核算、进出口合同的缮制与审核等贸易流程；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（5）同一学校、同一参赛队、同一国家的选手无法进行交易；</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（6）各笔业务进行至合同签订确认即告完成，无需完成后续履约过程。业务盈亏情况以相应预算表中实际发生额数字为准；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（7）所有业务采用统一的保险条款及投保加成，海运方式下按照“协会货物(A)险条款（ICC Clause A）＋战争险（War Risks）＋罢工险（Strike）”进行投保，空运方式下按照“航空运输一切险（Air Transportation All Risks）＋战争险（War Risks）＋罢工险（Strike）”进行投保，且投保加成统一为110%；</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（8）单笔业务成交金额不能超过公司当前资金，且不允许贷款；</w:t>
      </w:r>
    </w:p>
    <w:p>
      <w:pPr>
        <w:spacing w:line="360" w:lineRule="auto"/>
        <w:ind w:firstLine="560" w:firstLineChars="200"/>
        <w:rPr>
          <w:rFonts w:ascii="仿宋" w:hAnsi="仿宋" w:eastAsia="仿宋"/>
          <w:sz w:val="28"/>
          <w:szCs w:val="28"/>
        </w:rPr>
      </w:pPr>
      <w:r>
        <w:rPr>
          <w:rFonts w:hint="eastAsia" w:ascii="仿宋" w:hAnsi="仿宋" w:eastAsia="仿宋"/>
          <w:sz w:val="28"/>
          <w:szCs w:val="28"/>
        </w:rPr>
        <w:t>（9）每组选手可完成的业务笔数不超过16笔。</w:t>
      </w:r>
    </w:p>
    <w:p>
      <w:pPr>
        <w:spacing w:line="360" w:lineRule="auto"/>
        <w:ind w:firstLine="560" w:firstLineChars="200"/>
        <w:outlineLvl w:val="0"/>
        <w:rPr>
          <w:rFonts w:ascii="仿宋" w:hAnsi="仿宋" w:eastAsia="仿宋"/>
          <w:sz w:val="28"/>
          <w:szCs w:val="28"/>
        </w:rPr>
      </w:pPr>
      <w:r>
        <w:rPr>
          <w:rFonts w:hint="eastAsia" w:ascii="仿宋" w:hAnsi="仿宋" w:eastAsia="仿宋"/>
          <w:sz w:val="28"/>
          <w:szCs w:val="28"/>
        </w:rPr>
        <w:t>2. 外贸B2C模块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（1）竞赛方式为上机竞赛；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（2）竞赛共计8回合，竞赛总时间为5小时；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（3）每个参赛队的2组选手通过组内2名选手的团队合作，开展外贸B2C数据运营，与其他参赛队模拟的同质企业在同一市场环境中展开竞争；</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4）每回合开始后，参赛队可根据当前市场快讯、汇率、税收政策、仓储物流及海外仓信息、外贸B2C平台政策、竞品信息等，结合企业运营产生的财务、订单、利润、库存等数据，进行数据挖掘与分析，制定企业运营战略及决策，并在系统中实施；</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（5）每回合每店铺发布新商品数量上限为50个，每回合每店铺在售商品数量上限为100个。</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（6）每回合结束后，系统将根据当前所有参赛队所做的决策，结合当前市场环境进行运算，给出各参赛队运营结果与成绩。参赛队可根据运营结果对运营战略及决策进行优化，并付诸实施，直至比赛结束；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（7）参赛队如出现资金链断裂等情况，可导致经营的公司破产。参赛队在公司破产后可重新创建公司继续经营，直至比赛结束。</w:t>
      </w:r>
    </w:p>
    <w:p>
      <w:pPr>
        <w:outlineLvl w:val="0"/>
        <w:rPr>
          <w:rFonts w:ascii="仿宋" w:hAnsi="仿宋" w:eastAsia="仿宋" w:cs="宋体"/>
          <w:b/>
          <w:sz w:val="28"/>
          <w:szCs w:val="28"/>
        </w:rPr>
      </w:pPr>
      <w:bookmarkStart w:id="3" w:name="_Toc61004414"/>
      <w:r>
        <w:rPr>
          <w:rFonts w:hint="eastAsia" w:ascii="仿宋" w:hAnsi="仿宋" w:eastAsia="仿宋" w:cs="宋体"/>
          <w:b/>
          <w:sz w:val="28"/>
          <w:szCs w:val="28"/>
        </w:rPr>
        <w:t>四、竞赛方式</w:t>
      </w:r>
      <w:bookmarkEnd w:id="3"/>
    </w:p>
    <w:p>
      <w:pPr>
        <w:spacing w:line="360" w:lineRule="auto"/>
        <w:ind w:firstLine="560" w:firstLineChars="200"/>
        <w:rPr>
          <w:rFonts w:ascii="仿宋" w:hAnsi="仿宋" w:eastAsia="仿宋"/>
          <w:sz w:val="28"/>
          <w:szCs w:val="28"/>
        </w:rPr>
      </w:pPr>
      <w:r>
        <w:rPr>
          <w:rFonts w:hint="eastAsia" w:ascii="仿宋" w:hAnsi="仿宋" w:eastAsia="仿宋"/>
          <w:sz w:val="28"/>
          <w:szCs w:val="28"/>
        </w:rPr>
        <w:t>（一）本竞赛为团体赛，团体赛不得跨校组队，同一学校相同项目报名参赛队不超过 2 支。每队4名选手（鼓励有条件的院校选派在籍留学生参与组队），不超过2名指导教师。1名领队老师可由指导老师兼任。每支队伍的4名学生以自由组合方式自行分为2组，共同参加外贸B2B模块及外贸B2C模块的竞赛，分组一旦确定不可更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外贸B2B模块、外贸B2C模块采用同样的竞赛场地。竞赛场地设在电脑机房，场地内设置满足参赛队伍数量的竞赛环境，场地将根据报名参赛队伍数量分隔成多个区域，每个区域内设置多个赛位。一个参赛队的每个小组的两名选手一个机位，每个机位两台电脑，其中一台电脑备用，桌椅备足。比赛期间，每个参赛队的2组选手被分配在不同的区域。比赛连续进行，比赛过程中不同组选手不允许进行接触和交流。</w:t>
      </w:r>
    </w:p>
    <w:p>
      <w:pPr>
        <w:outlineLvl w:val="0"/>
        <w:rPr>
          <w:rFonts w:ascii="仿宋" w:hAnsi="仿宋" w:eastAsia="仿宋" w:cs="宋体"/>
          <w:b/>
          <w:sz w:val="28"/>
          <w:szCs w:val="28"/>
        </w:rPr>
      </w:pPr>
      <w:bookmarkStart w:id="4" w:name="_Toc61004415"/>
      <w:r>
        <w:rPr>
          <w:rFonts w:hint="eastAsia" w:ascii="仿宋" w:hAnsi="仿宋" w:eastAsia="仿宋" w:cs="宋体"/>
          <w:b/>
          <w:sz w:val="28"/>
          <w:szCs w:val="28"/>
        </w:rPr>
        <w:t>五、竞赛流程</w:t>
      </w:r>
      <w:bookmarkEnd w:id="4"/>
    </w:p>
    <w:p>
      <w:pPr>
        <w:spacing w:line="560" w:lineRule="exact"/>
        <w:jc w:val="center"/>
        <w:rPr>
          <w:rFonts w:hint="eastAsia" w:ascii="仿宋" w:hAnsi="仿宋" w:eastAsia="仿宋" w:cs="宋体"/>
          <w:sz w:val="24"/>
          <w:szCs w:val="30"/>
        </w:rPr>
      </w:pPr>
      <w:r>
        <w:rPr>
          <w:rFonts w:hint="eastAsia" w:ascii="仿宋" w:hAnsi="仿宋" w:eastAsia="仿宋" w:cs="宋体"/>
          <w:sz w:val="24"/>
          <w:szCs w:val="30"/>
        </w:rPr>
        <w:t>表2 竞赛流程</w:t>
      </w:r>
    </w:p>
    <w:tbl>
      <w:tblPr>
        <w:tblStyle w:val="8"/>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740"/>
        <w:gridCol w:w="1785"/>
        <w:gridCol w:w="1485"/>
        <w:gridCol w:w="1331"/>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0" w:type="dxa"/>
            <w:vAlign w:val="center"/>
          </w:tcPr>
          <w:p>
            <w:pPr>
              <w:shd w:val="solid" w:color="FFFFFF" w:fill="auto"/>
              <w:autoSpaceDN w:val="0"/>
              <w:adjustRightInd w:val="0"/>
              <w:snapToGrid w:val="0"/>
              <w:jc w:val="center"/>
              <w:rPr>
                <w:rFonts w:ascii="仿宋" w:hAnsi="仿宋" w:eastAsia="仿宋"/>
                <w:b/>
                <w:sz w:val="24"/>
                <w:szCs w:val="24"/>
                <w:shd w:val="clear" w:color="auto" w:fill="FFFFFF"/>
              </w:rPr>
            </w:pPr>
          </w:p>
          <w:p>
            <w:pPr>
              <w:shd w:val="solid" w:color="FFFFFF" w:fill="auto"/>
              <w:autoSpaceDN w:val="0"/>
              <w:adjustRightInd w:val="0"/>
              <w:snapToGrid w:val="0"/>
              <w:jc w:val="center"/>
              <w:rPr>
                <w:rFonts w:ascii="仿宋" w:hAnsi="仿宋" w:eastAsia="仿宋"/>
                <w:b/>
                <w:sz w:val="24"/>
                <w:szCs w:val="24"/>
                <w:shd w:val="clear" w:color="auto" w:fill="FFFFFF"/>
              </w:rPr>
            </w:pPr>
          </w:p>
        </w:tc>
        <w:tc>
          <w:tcPr>
            <w:tcW w:w="1740" w:type="dxa"/>
            <w:vAlign w:val="center"/>
          </w:tcPr>
          <w:p>
            <w:pPr>
              <w:shd w:val="solid" w:color="FFFFFF" w:fill="auto"/>
              <w:autoSpaceDN w:val="0"/>
              <w:adjustRightInd w:val="0"/>
              <w:snapToGrid w:val="0"/>
              <w:jc w:val="center"/>
              <w:rPr>
                <w:rFonts w:ascii="仿宋" w:hAnsi="仿宋" w:eastAsia="仿宋"/>
                <w:b/>
                <w:sz w:val="24"/>
                <w:szCs w:val="24"/>
                <w:shd w:val="clear" w:color="auto" w:fill="FFFFFF"/>
              </w:rPr>
            </w:pPr>
            <w:r>
              <w:rPr>
                <w:rFonts w:hint="eastAsia" w:ascii="仿宋" w:hAnsi="仿宋" w:eastAsia="仿宋"/>
                <w:b/>
                <w:sz w:val="24"/>
                <w:szCs w:val="24"/>
                <w:shd w:val="clear" w:color="auto" w:fill="FFFFFF"/>
              </w:rPr>
              <w:t>时间</w:t>
            </w:r>
          </w:p>
        </w:tc>
        <w:tc>
          <w:tcPr>
            <w:tcW w:w="1785" w:type="dxa"/>
            <w:vAlign w:val="center"/>
          </w:tcPr>
          <w:p>
            <w:pPr>
              <w:shd w:val="solid" w:color="FFFFFF" w:fill="auto"/>
              <w:autoSpaceDN w:val="0"/>
              <w:adjustRightInd w:val="0"/>
              <w:snapToGrid w:val="0"/>
              <w:jc w:val="center"/>
              <w:rPr>
                <w:rFonts w:ascii="仿宋" w:hAnsi="仿宋" w:eastAsia="仿宋"/>
                <w:b/>
                <w:sz w:val="24"/>
                <w:szCs w:val="24"/>
                <w:shd w:val="clear" w:color="auto" w:fill="FFFFFF"/>
              </w:rPr>
            </w:pPr>
            <w:r>
              <w:rPr>
                <w:rFonts w:hint="eastAsia" w:ascii="仿宋" w:hAnsi="仿宋" w:eastAsia="仿宋"/>
                <w:b/>
                <w:sz w:val="24"/>
                <w:szCs w:val="24"/>
                <w:shd w:val="clear" w:color="auto" w:fill="FFFFFF"/>
              </w:rPr>
              <w:t>事项</w:t>
            </w:r>
          </w:p>
        </w:tc>
        <w:tc>
          <w:tcPr>
            <w:tcW w:w="1485" w:type="dxa"/>
            <w:vAlign w:val="center"/>
          </w:tcPr>
          <w:p>
            <w:pPr>
              <w:shd w:val="solid" w:color="FFFFFF" w:fill="auto"/>
              <w:autoSpaceDN w:val="0"/>
              <w:adjustRightInd w:val="0"/>
              <w:snapToGrid w:val="0"/>
              <w:jc w:val="center"/>
              <w:rPr>
                <w:rFonts w:ascii="仿宋" w:hAnsi="仿宋" w:eastAsia="仿宋"/>
                <w:b/>
                <w:sz w:val="24"/>
                <w:szCs w:val="24"/>
                <w:shd w:val="clear" w:color="auto" w:fill="FFFFFF"/>
              </w:rPr>
            </w:pPr>
            <w:r>
              <w:rPr>
                <w:rFonts w:hint="eastAsia" w:ascii="仿宋" w:hAnsi="仿宋" w:eastAsia="仿宋"/>
                <w:b/>
                <w:sz w:val="24"/>
                <w:szCs w:val="24"/>
                <w:shd w:val="clear" w:color="auto" w:fill="FFFFFF"/>
              </w:rPr>
              <w:t>参加人员</w:t>
            </w:r>
          </w:p>
        </w:tc>
        <w:tc>
          <w:tcPr>
            <w:tcW w:w="1331" w:type="dxa"/>
            <w:vAlign w:val="center"/>
          </w:tcPr>
          <w:p>
            <w:pPr>
              <w:shd w:val="solid" w:color="FFFFFF" w:fill="auto"/>
              <w:autoSpaceDN w:val="0"/>
              <w:adjustRightInd w:val="0"/>
              <w:snapToGrid w:val="0"/>
              <w:jc w:val="center"/>
              <w:rPr>
                <w:rFonts w:ascii="仿宋" w:hAnsi="仿宋" w:eastAsia="仿宋"/>
                <w:b/>
                <w:sz w:val="24"/>
                <w:szCs w:val="24"/>
                <w:shd w:val="clear" w:color="auto" w:fill="FFFFFF"/>
              </w:rPr>
            </w:pPr>
            <w:r>
              <w:rPr>
                <w:rFonts w:hint="eastAsia" w:ascii="仿宋" w:hAnsi="仿宋" w:eastAsia="仿宋"/>
                <w:b/>
                <w:sz w:val="24"/>
                <w:szCs w:val="24"/>
                <w:shd w:val="clear" w:color="auto" w:fill="FFFFFF"/>
              </w:rPr>
              <w:t>地点</w:t>
            </w:r>
          </w:p>
        </w:tc>
        <w:tc>
          <w:tcPr>
            <w:tcW w:w="1234" w:type="dxa"/>
            <w:vAlign w:val="center"/>
          </w:tcPr>
          <w:p>
            <w:pPr>
              <w:shd w:val="solid" w:color="FFFFFF" w:fill="auto"/>
              <w:autoSpaceDN w:val="0"/>
              <w:adjustRightInd w:val="0"/>
              <w:snapToGrid w:val="0"/>
              <w:jc w:val="center"/>
              <w:rPr>
                <w:rFonts w:ascii="仿宋" w:hAnsi="仿宋" w:eastAsia="仿宋"/>
                <w:b/>
                <w:sz w:val="24"/>
                <w:szCs w:val="24"/>
                <w:shd w:val="clear" w:color="auto" w:fill="FFFFFF"/>
              </w:rPr>
            </w:pPr>
            <w:r>
              <w:rPr>
                <w:rFonts w:hint="eastAsia" w:ascii="仿宋" w:hAnsi="仿宋" w:eastAsia="仿宋"/>
                <w:b/>
                <w:sz w:val="24"/>
                <w:szCs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290" w:type="dxa"/>
            <w:vMerge w:val="restart"/>
            <w:vAlign w:val="center"/>
          </w:tcPr>
          <w:p>
            <w:pPr>
              <w:shd w:val="solid" w:color="FFFFFF" w:fill="auto"/>
              <w:autoSpaceDN w:val="0"/>
              <w:adjustRightInd w:val="0"/>
              <w:snapToGrid w:val="0"/>
              <w:jc w:val="center"/>
              <w:rPr>
                <w:rFonts w:ascii="仿宋" w:hAnsi="仿宋" w:eastAsia="仿宋"/>
                <w:sz w:val="24"/>
                <w:szCs w:val="24"/>
                <w:shd w:val="clear" w:color="auto" w:fill="FFFFFF"/>
              </w:rPr>
            </w:pPr>
          </w:p>
          <w:p>
            <w:pPr>
              <w:shd w:val="solid" w:color="FFFFFF" w:fill="auto"/>
              <w:autoSpaceDN w:val="0"/>
              <w:adjustRightInd w:val="0"/>
              <w:snapToGrid w:val="0"/>
              <w:ind w:firstLine="120" w:firstLineChars="50"/>
              <w:jc w:val="center"/>
              <w:rPr>
                <w:rFonts w:ascii="仿宋" w:hAnsi="仿宋" w:eastAsia="仿宋"/>
                <w:sz w:val="24"/>
                <w:szCs w:val="24"/>
                <w:shd w:val="clear" w:color="auto" w:fill="FFFFFF"/>
              </w:rPr>
            </w:pPr>
            <w:r>
              <w:rPr>
                <w:rFonts w:hint="eastAsia" w:ascii="仿宋" w:hAnsi="仿宋" w:eastAsia="仿宋"/>
                <w:sz w:val="24"/>
                <w:szCs w:val="24"/>
                <w:shd w:val="clear" w:color="auto" w:fill="FFFFFF"/>
                <w:lang w:val="en-US" w:eastAsia="zh-CN"/>
              </w:rPr>
              <w:t>4</w:t>
            </w:r>
            <w:r>
              <w:rPr>
                <w:rFonts w:hint="eastAsia" w:ascii="仿宋" w:hAnsi="仿宋" w:eastAsia="仿宋"/>
                <w:sz w:val="24"/>
                <w:szCs w:val="24"/>
                <w:shd w:val="clear" w:color="auto" w:fill="FFFFFF"/>
              </w:rPr>
              <w:t>月</w:t>
            </w:r>
            <w:r>
              <w:rPr>
                <w:rFonts w:hint="eastAsia" w:ascii="仿宋" w:hAnsi="仿宋" w:eastAsia="仿宋"/>
                <w:sz w:val="24"/>
                <w:szCs w:val="24"/>
                <w:shd w:val="clear" w:color="auto" w:fill="FFFFFF"/>
                <w:lang w:val="en-US" w:eastAsia="zh-CN"/>
              </w:rPr>
              <w:t>26</w:t>
            </w:r>
            <w:r>
              <w:rPr>
                <w:rFonts w:hint="eastAsia" w:ascii="仿宋" w:hAnsi="仿宋" w:eastAsia="仿宋"/>
                <w:sz w:val="24"/>
                <w:szCs w:val="24"/>
                <w:shd w:val="clear" w:color="auto" w:fill="FFFFFF"/>
              </w:rPr>
              <w:t>日</w:t>
            </w:r>
          </w:p>
        </w:tc>
        <w:tc>
          <w:tcPr>
            <w:tcW w:w="1740" w:type="dxa"/>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14:00</w:t>
            </w:r>
            <w:r>
              <w:rPr>
                <w:rFonts w:ascii="仿宋" w:hAnsi="仿宋" w:eastAsia="仿宋"/>
                <w:sz w:val="24"/>
                <w:szCs w:val="24"/>
                <w:shd w:val="clear" w:color="auto" w:fill="FFFFFF"/>
              </w:rPr>
              <w:t>-1</w:t>
            </w:r>
            <w:r>
              <w:rPr>
                <w:rFonts w:hint="eastAsia" w:ascii="仿宋" w:hAnsi="仿宋" w:eastAsia="仿宋"/>
                <w:sz w:val="24"/>
                <w:szCs w:val="24"/>
                <w:shd w:val="clear" w:color="auto" w:fill="FFFFFF"/>
              </w:rPr>
              <w:t>5</w:t>
            </w:r>
            <w:r>
              <w:rPr>
                <w:rFonts w:ascii="仿宋" w:hAnsi="仿宋" w:eastAsia="仿宋"/>
                <w:sz w:val="24"/>
                <w:szCs w:val="24"/>
                <w:shd w:val="clear" w:color="auto" w:fill="FFFFFF"/>
              </w:rPr>
              <w:t>:</w:t>
            </w:r>
            <w:r>
              <w:rPr>
                <w:rFonts w:hint="eastAsia" w:ascii="仿宋" w:hAnsi="仿宋" w:eastAsia="仿宋"/>
                <w:sz w:val="24"/>
                <w:szCs w:val="24"/>
                <w:shd w:val="clear" w:color="auto" w:fill="FFFFFF"/>
              </w:rPr>
              <w:t>3</w:t>
            </w:r>
            <w:r>
              <w:rPr>
                <w:rFonts w:ascii="仿宋" w:hAnsi="仿宋" w:eastAsia="仿宋"/>
                <w:sz w:val="24"/>
                <w:szCs w:val="24"/>
                <w:shd w:val="clear" w:color="auto" w:fill="FFFFFF"/>
              </w:rPr>
              <w:t>0</w:t>
            </w:r>
          </w:p>
        </w:tc>
        <w:tc>
          <w:tcPr>
            <w:tcW w:w="1785" w:type="dxa"/>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参赛队报到</w:t>
            </w:r>
          </w:p>
        </w:tc>
        <w:tc>
          <w:tcPr>
            <w:tcW w:w="14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工作人员</w:t>
            </w:r>
          </w:p>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参赛队</w:t>
            </w:r>
          </w:p>
        </w:tc>
        <w:tc>
          <w:tcPr>
            <w:tcW w:w="1331"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lang w:eastAsia="zh-CN"/>
              </w:rPr>
            </w:pPr>
            <w:r>
              <w:rPr>
                <w:rFonts w:hint="eastAsia" w:ascii="仿宋" w:hAnsi="仿宋" w:eastAsia="仿宋"/>
                <w:sz w:val="24"/>
                <w:szCs w:val="24"/>
                <w:shd w:val="clear" w:color="auto" w:fill="FFFFFF"/>
                <w:lang w:eastAsia="zh-CN"/>
              </w:rPr>
              <w:t>城职院</w:t>
            </w:r>
          </w:p>
          <w:p>
            <w:pPr>
              <w:shd w:val="solid" w:color="FFFFFF" w:fill="auto"/>
              <w:autoSpaceDN w:val="0"/>
              <w:adjustRightInd w:val="0"/>
              <w:snapToGrid w:val="0"/>
              <w:jc w:val="center"/>
              <w:rPr>
                <w:rFonts w:hint="default" w:ascii="仿宋" w:hAnsi="仿宋" w:eastAsia="仿宋"/>
                <w:sz w:val="24"/>
                <w:szCs w:val="24"/>
                <w:shd w:val="clear" w:color="auto" w:fill="FFFFFF"/>
                <w:lang w:val="en-US" w:eastAsia="zh-CN"/>
              </w:rPr>
            </w:pPr>
            <w:r>
              <w:rPr>
                <w:rFonts w:hint="eastAsia" w:ascii="仿宋" w:hAnsi="仿宋" w:eastAsia="仿宋"/>
                <w:sz w:val="24"/>
                <w:szCs w:val="24"/>
                <w:shd w:val="clear" w:color="auto" w:fill="FFFFFF"/>
                <w:lang w:eastAsia="zh-CN"/>
              </w:rPr>
              <w:t>博学馆</w:t>
            </w:r>
            <w:r>
              <w:rPr>
                <w:rFonts w:hint="eastAsia" w:ascii="仿宋" w:hAnsi="仿宋" w:eastAsia="仿宋"/>
                <w:sz w:val="24"/>
                <w:szCs w:val="24"/>
                <w:shd w:val="clear" w:color="auto" w:fill="FFFFFF"/>
                <w:lang w:val="en-US" w:eastAsia="zh-CN"/>
              </w:rPr>
              <w:t>1楼大厅</w:t>
            </w:r>
          </w:p>
        </w:tc>
        <w:tc>
          <w:tcPr>
            <w:tcW w:w="1234" w:type="dxa"/>
            <w:vMerge w:val="restart"/>
            <w:vAlign w:val="center"/>
          </w:tcPr>
          <w:p>
            <w:pPr>
              <w:shd w:val="solid" w:color="FFFFFF" w:fill="auto"/>
              <w:autoSpaceDN w:val="0"/>
              <w:adjustRightInd w:val="0"/>
              <w:snapToGrid w:val="0"/>
              <w:rPr>
                <w:rFonts w:hint="eastAsia" w:ascii="仿宋" w:hAnsi="仿宋" w:eastAsia="仿宋"/>
                <w:sz w:val="24"/>
                <w:szCs w:val="24"/>
                <w:shd w:val="clear" w:color="auto" w:fill="FFFFFF"/>
                <w:lang w:eastAsia="zh-CN"/>
              </w:rPr>
            </w:pPr>
            <w:r>
              <w:rPr>
                <w:rFonts w:hint="eastAsia" w:ascii="仿宋" w:hAnsi="仿宋" w:eastAsia="仿宋"/>
                <w:sz w:val="24"/>
                <w:szCs w:val="24"/>
                <w:shd w:val="clear" w:color="auto" w:fill="FFFFFF"/>
              </w:rPr>
              <w:t>报到时请出具健康码</w:t>
            </w:r>
            <w:r>
              <w:rPr>
                <w:rFonts w:hint="eastAsia" w:ascii="仿宋" w:hAnsi="仿宋" w:eastAsia="仿宋"/>
                <w:sz w:val="24"/>
                <w:szCs w:val="24"/>
                <w:shd w:val="clear" w:color="auto" w:fill="FFFFFF"/>
                <w:lang w:eastAsia="zh-CN"/>
              </w:rPr>
              <w:t>、保险参保单</w:t>
            </w:r>
            <w:r>
              <w:rPr>
                <w:rFonts w:hint="eastAsia" w:ascii="仿宋" w:hAnsi="仿宋" w:eastAsia="仿宋"/>
                <w:sz w:val="24"/>
                <w:szCs w:val="24"/>
                <w:shd w:val="clear" w:color="auto" w:fill="FFFFFF"/>
              </w:rPr>
              <w:t>并接受体温检测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290" w:type="dxa"/>
            <w:vMerge w:val="continue"/>
            <w:vAlign w:val="center"/>
          </w:tcPr>
          <w:p>
            <w:pPr>
              <w:shd w:val="solid" w:color="FFFFFF" w:fill="auto"/>
              <w:autoSpaceDN w:val="0"/>
              <w:adjustRightInd w:val="0"/>
              <w:snapToGrid w:val="0"/>
              <w:ind w:firstLine="120" w:firstLineChars="5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hint="default" w:ascii="仿宋" w:hAnsi="仿宋" w:eastAsia="仿宋"/>
                <w:sz w:val="24"/>
                <w:szCs w:val="24"/>
                <w:shd w:val="clear" w:color="auto" w:fill="FFFFFF"/>
                <w:lang w:val="en-US" w:eastAsia="zh-CN"/>
              </w:rPr>
            </w:pPr>
            <w:r>
              <w:rPr>
                <w:rFonts w:hint="eastAsia" w:ascii="仿宋" w:hAnsi="仿宋" w:eastAsia="仿宋"/>
                <w:sz w:val="24"/>
                <w:szCs w:val="24"/>
                <w:shd w:val="clear" w:color="auto" w:fill="FFFFFF"/>
              </w:rPr>
              <w:t>14:00</w:t>
            </w:r>
            <w:r>
              <w:rPr>
                <w:rFonts w:ascii="仿宋" w:hAnsi="仿宋" w:eastAsia="仿宋"/>
                <w:sz w:val="24"/>
                <w:szCs w:val="24"/>
                <w:shd w:val="clear" w:color="auto" w:fill="FFFFFF"/>
              </w:rPr>
              <w:t>-1</w:t>
            </w:r>
            <w:r>
              <w:rPr>
                <w:rFonts w:hint="eastAsia" w:ascii="仿宋" w:hAnsi="仿宋" w:eastAsia="仿宋"/>
                <w:sz w:val="24"/>
                <w:szCs w:val="24"/>
                <w:shd w:val="clear" w:color="auto" w:fill="FFFFFF"/>
              </w:rPr>
              <w:t>5</w:t>
            </w:r>
            <w:r>
              <w:rPr>
                <w:rFonts w:ascii="仿宋" w:hAnsi="仿宋" w:eastAsia="仿宋"/>
                <w:sz w:val="24"/>
                <w:szCs w:val="24"/>
                <w:shd w:val="clear" w:color="auto" w:fill="FFFFFF"/>
              </w:rPr>
              <w:t>:</w:t>
            </w:r>
            <w:r>
              <w:rPr>
                <w:rFonts w:hint="eastAsia" w:ascii="仿宋" w:hAnsi="仿宋" w:eastAsia="仿宋"/>
                <w:sz w:val="24"/>
                <w:szCs w:val="24"/>
                <w:shd w:val="clear" w:color="auto" w:fill="FFFFFF"/>
                <w:lang w:val="en-US" w:eastAsia="zh-CN"/>
              </w:rPr>
              <w:t>00</w:t>
            </w:r>
          </w:p>
        </w:tc>
        <w:tc>
          <w:tcPr>
            <w:tcW w:w="1785" w:type="dxa"/>
            <w:vAlign w:val="center"/>
          </w:tcPr>
          <w:p>
            <w:pPr>
              <w:shd w:val="solid" w:color="FFFFFF" w:fill="auto"/>
              <w:autoSpaceDN w:val="0"/>
              <w:adjustRightInd w:val="0"/>
              <w:snapToGrid w:val="0"/>
              <w:jc w:val="both"/>
              <w:rPr>
                <w:rFonts w:ascii="仿宋" w:hAnsi="仿宋" w:eastAsia="仿宋"/>
                <w:sz w:val="24"/>
                <w:szCs w:val="24"/>
                <w:shd w:val="clear" w:color="auto" w:fill="FFFFFF"/>
              </w:rPr>
            </w:pPr>
            <w:r>
              <w:rPr>
                <w:rFonts w:hint="eastAsia" w:ascii="仿宋" w:hAnsi="仿宋" w:eastAsia="仿宋"/>
                <w:sz w:val="24"/>
                <w:szCs w:val="24"/>
                <w:shd w:val="clear" w:color="auto" w:fill="FFFFFF"/>
              </w:rPr>
              <w:t>裁判、仲裁、监督报到</w:t>
            </w:r>
          </w:p>
        </w:tc>
        <w:tc>
          <w:tcPr>
            <w:tcW w:w="1485" w:type="dxa"/>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工作人员</w:t>
            </w:r>
          </w:p>
        </w:tc>
        <w:tc>
          <w:tcPr>
            <w:tcW w:w="1331"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lang w:eastAsia="zh-CN"/>
              </w:rPr>
            </w:pPr>
            <w:r>
              <w:rPr>
                <w:rFonts w:hint="eastAsia" w:ascii="仿宋" w:hAnsi="仿宋" w:eastAsia="仿宋"/>
                <w:sz w:val="24"/>
                <w:szCs w:val="24"/>
                <w:shd w:val="clear" w:color="auto" w:fill="FFFFFF"/>
                <w:lang w:eastAsia="zh-CN"/>
              </w:rPr>
              <w:t>城职院</w:t>
            </w:r>
          </w:p>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lang w:eastAsia="zh-CN"/>
              </w:rPr>
              <w:t>博学馆</w:t>
            </w:r>
            <w:r>
              <w:rPr>
                <w:rFonts w:hint="eastAsia" w:ascii="仿宋" w:hAnsi="仿宋" w:eastAsia="仿宋"/>
                <w:sz w:val="24"/>
                <w:szCs w:val="24"/>
                <w:shd w:val="clear" w:color="auto" w:fill="FFFFFF"/>
                <w:lang w:val="en-US" w:eastAsia="zh-CN"/>
              </w:rPr>
              <w:t>1楼大厅</w:t>
            </w:r>
          </w:p>
        </w:tc>
        <w:tc>
          <w:tcPr>
            <w:tcW w:w="1234" w:type="dxa"/>
            <w:vMerge w:val="continue"/>
            <w:vAlign w:val="center"/>
          </w:tcPr>
          <w:p>
            <w:pPr>
              <w:shd w:val="solid" w:color="FFFFFF" w:fill="auto"/>
              <w:autoSpaceDN w:val="0"/>
              <w:adjustRightInd w:val="0"/>
              <w:snapToGrid w:val="0"/>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1290" w:type="dxa"/>
            <w:vMerge w:val="continue"/>
            <w:vAlign w:val="center"/>
          </w:tcPr>
          <w:p>
            <w:pPr>
              <w:shd w:val="solid" w:color="FFFFFF" w:fill="auto"/>
              <w:autoSpaceDN w:val="0"/>
              <w:adjustRightInd w:val="0"/>
              <w:snapToGrid w:val="0"/>
              <w:ind w:firstLine="120" w:firstLineChars="50"/>
              <w:jc w:val="center"/>
              <w:rPr>
                <w:rFonts w:ascii="仿宋" w:hAnsi="仿宋" w:eastAsia="仿宋"/>
                <w:sz w:val="24"/>
                <w:szCs w:val="24"/>
                <w:shd w:val="clear" w:color="auto" w:fill="FFFFFF"/>
              </w:rPr>
            </w:pPr>
          </w:p>
        </w:tc>
        <w:tc>
          <w:tcPr>
            <w:tcW w:w="1740" w:type="dxa"/>
            <w:vAlign w:val="center"/>
          </w:tcPr>
          <w:p>
            <w:pPr>
              <w:shd w:val="solid" w:color="FFFFFF" w:fill="auto"/>
              <w:autoSpaceDN w:val="0"/>
              <w:jc w:val="center"/>
              <w:rPr>
                <w:rFonts w:hint="default" w:ascii="仿宋" w:hAnsi="仿宋" w:eastAsia="仿宋"/>
                <w:sz w:val="24"/>
                <w:szCs w:val="24"/>
                <w:shd w:val="clear" w:color="auto" w:fill="FFFFFF"/>
                <w:lang w:val="en-US" w:eastAsia="zh-CN"/>
              </w:rPr>
            </w:pPr>
            <w:r>
              <w:rPr>
                <w:rFonts w:hint="eastAsia" w:ascii="仿宋" w:hAnsi="仿宋" w:eastAsia="仿宋"/>
                <w:sz w:val="24"/>
                <w:szCs w:val="24"/>
                <w:shd w:val="clear" w:color="auto" w:fill="FFFFFF"/>
              </w:rPr>
              <w:t>15:</w:t>
            </w:r>
            <w:r>
              <w:rPr>
                <w:rFonts w:hint="eastAsia" w:ascii="仿宋" w:hAnsi="仿宋" w:eastAsia="仿宋"/>
                <w:sz w:val="24"/>
                <w:szCs w:val="24"/>
                <w:shd w:val="clear" w:color="auto" w:fill="FFFFFF"/>
                <w:lang w:val="en-US" w:eastAsia="zh-CN"/>
              </w:rPr>
              <w:t>00</w:t>
            </w:r>
            <w:r>
              <w:rPr>
                <w:rFonts w:hint="eastAsia" w:ascii="仿宋" w:hAnsi="仿宋" w:eastAsia="仿宋"/>
                <w:sz w:val="24"/>
                <w:szCs w:val="24"/>
                <w:shd w:val="clear" w:color="auto" w:fill="FFFFFF"/>
              </w:rPr>
              <w:t>-1</w:t>
            </w:r>
            <w:r>
              <w:rPr>
                <w:rFonts w:hint="eastAsia" w:ascii="仿宋" w:hAnsi="仿宋" w:eastAsia="仿宋"/>
                <w:sz w:val="24"/>
                <w:szCs w:val="24"/>
                <w:shd w:val="clear" w:color="auto" w:fill="FFFFFF"/>
                <w:lang w:val="en-US" w:eastAsia="zh-CN"/>
              </w:rPr>
              <w:t>5</w:t>
            </w:r>
            <w:r>
              <w:rPr>
                <w:rFonts w:hint="eastAsia" w:ascii="仿宋" w:hAnsi="仿宋" w:eastAsia="仿宋"/>
                <w:sz w:val="24"/>
                <w:szCs w:val="24"/>
                <w:shd w:val="clear" w:color="auto" w:fill="FFFFFF"/>
              </w:rPr>
              <w:t>:</w:t>
            </w:r>
            <w:r>
              <w:rPr>
                <w:rFonts w:hint="eastAsia" w:ascii="仿宋" w:hAnsi="仿宋" w:eastAsia="仿宋"/>
                <w:sz w:val="24"/>
                <w:szCs w:val="24"/>
                <w:shd w:val="clear" w:color="auto" w:fill="FFFFFF"/>
                <w:lang w:val="en-US" w:eastAsia="zh-CN"/>
              </w:rPr>
              <w:t>30</w:t>
            </w:r>
          </w:p>
        </w:tc>
        <w:tc>
          <w:tcPr>
            <w:tcW w:w="1785" w:type="dxa"/>
            <w:vAlign w:val="center"/>
          </w:tcPr>
          <w:p>
            <w:pPr>
              <w:shd w:val="solid" w:color="FFFFFF" w:fill="auto"/>
              <w:autoSpaceDN w:val="0"/>
              <w:ind w:firstLine="480" w:firstLineChars="200"/>
              <w:jc w:val="both"/>
              <w:rPr>
                <w:rFonts w:ascii="仿宋" w:hAnsi="仿宋" w:eastAsia="仿宋"/>
                <w:sz w:val="24"/>
                <w:szCs w:val="24"/>
                <w:shd w:val="clear" w:color="auto" w:fill="FFFFFF"/>
              </w:rPr>
            </w:pPr>
            <w:r>
              <w:rPr>
                <w:rFonts w:hint="eastAsia" w:ascii="仿宋" w:hAnsi="仿宋" w:eastAsia="仿宋"/>
                <w:sz w:val="24"/>
                <w:szCs w:val="24"/>
                <w:shd w:val="clear" w:color="auto" w:fill="FFFFFF"/>
              </w:rPr>
              <w:t>裁判会</w:t>
            </w:r>
          </w:p>
        </w:tc>
        <w:tc>
          <w:tcPr>
            <w:tcW w:w="14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裁判长</w:t>
            </w:r>
          </w:p>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裁判员</w:t>
            </w:r>
          </w:p>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监督</w:t>
            </w:r>
            <w:r>
              <w:rPr>
                <w:rFonts w:hint="eastAsia" w:ascii="仿宋" w:hAnsi="仿宋" w:eastAsia="仿宋"/>
                <w:sz w:val="24"/>
                <w:szCs w:val="24"/>
                <w:shd w:val="clear" w:color="auto" w:fill="FFFFFF"/>
                <w:lang w:val="en-US" w:eastAsia="zh-CN"/>
              </w:rPr>
              <w:t>员</w:t>
            </w:r>
          </w:p>
        </w:tc>
        <w:tc>
          <w:tcPr>
            <w:tcW w:w="1331" w:type="dxa"/>
            <w:vAlign w:val="center"/>
          </w:tcPr>
          <w:p>
            <w:pPr>
              <w:shd w:val="solid" w:color="FFFFFF" w:fill="auto"/>
              <w:autoSpaceDN w:val="0"/>
              <w:jc w:val="center"/>
              <w:rPr>
                <w:rFonts w:hint="eastAsia" w:ascii="仿宋" w:hAnsi="仿宋" w:eastAsia="仿宋"/>
                <w:color w:val="auto"/>
                <w:sz w:val="24"/>
                <w:szCs w:val="24"/>
                <w:shd w:val="clear" w:color="auto" w:fill="FFFFFF"/>
                <w:lang w:eastAsia="zh-CN"/>
              </w:rPr>
            </w:pPr>
            <w:r>
              <w:rPr>
                <w:rFonts w:hint="eastAsia" w:ascii="仿宋" w:hAnsi="仿宋" w:eastAsia="仿宋"/>
                <w:color w:val="auto"/>
                <w:sz w:val="24"/>
                <w:szCs w:val="24"/>
                <w:shd w:val="clear" w:color="auto" w:fill="FFFFFF"/>
                <w:lang w:eastAsia="zh-CN"/>
              </w:rPr>
              <w:t>城职院</w:t>
            </w:r>
          </w:p>
          <w:p>
            <w:pPr>
              <w:shd w:val="solid" w:color="FFFFFF" w:fill="auto"/>
              <w:autoSpaceDN w:val="0"/>
              <w:jc w:val="center"/>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lang w:eastAsia="zh-CN"/>
              </w:rPr>
              <w:t>博学馆</w:t>
            </w:r>
            <w:r>
              <w:rPr>
                <w:rFonts w:hint="eastAsia" w:ascii="仿宋" w:hAnsi="仿宋" w:eastAsia="仿宋"/>
                <w:color w:val="auto"/>
                <w:sz w:val="24"/>
                <w:szCs w:val="24"/>
                <w:shd w:val="clear" w:color="auto" w:fill="FFFFFF"/>
                <w:lang w:val="en-US" w:eastAsia="zh-CN"/>
              </w:rPr>
              <w:t>607</w:t>
            </w:r>
            <w:r>
              <w:rPr>
                <w:rFonts w:hint="eastAsia" w:ascii="仿宋" w:hAnsi="仿宋" w:eastAsia="仿宋"/>
                <w:color w:val="auto"/>
                <w:sz w:val="24"/>
                <w:szCs w:val="24"/>
                <w:shd w:val="clear" w:color="auto" w:fill="FFFFFF"/>
              </w:rPr>
              <w:t>会议室</w:t>
            </w:r>
          </w:p>
        </w:tc>
        <w:tc>
          <w:tcPr>
            <w:tcW w:w="1234" w:type="dxa"/>
            <w:vMerge w:val="restart"/>
            <w:vAlign w:val="center"/>
          </w:tcPr>
          <w:p>
            <w:pPr>
              <w:shd w:val="solid" w:color="FFFFFF" w:fill="auto"/>
              <w:autoSpaceDN w:val="0"/>
              <w:adjustRightInd w:val="0"/>
              <w:snapToGrid w:val="0"/>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请全程佩戴口罩</w:t>
            </w:r>
          </w:p>
          <w:p>
            <w:pPr>
              <w:shd w:val="solid" w:color="FFFFFF" w:fill="auto"/>
              <w:autoSpaceDN w:val="0"/>
              <w:adjustRightInd w:val="0"/>
              <w:snapToGrid w:val="0"/>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lang w:val="zh-CN" w:eastAsia="zh-CN"/>
              </w:rPr>
            </w:pPr>
            <w:r>
              <w:rPr>
                <w:rFonts w:hint="eastAsia" w:ascii="仿宋" w:hAnsi="仿宋" w:eastAsia="仿宋"/>
                <w:sz w:val="24"/>
                <w:szCs w:val="24"/>
                <w:shd w:val="clear" w:color="auto" w:fill="FFFFFF"/>
              </w:rPr>
              <w:t>1</w:t>
            </w:r>
            <w:r>
              <w:rPr>
                <w:rFonts w:hint="eastAsia" w:ascii="仿宋" w:hAnsi="仿宋" w:eastAsia="仿宋"/>
                <w:sz w:val="24"/>
                <w:szCs w:val="24"/>
                <w:shd w:val="clear" w:color="auto" w:fill="FFFFFF"/>
                <w:lang w:val="en-US" w:eastAsia="zh-CN"/>
              </w:rPr>
              <w:t>5</w:t>
            </w:r>
            <w:r>
              <w:rPr>
                <w:rFonts w:hint="eastAsia" w:ascii="仿宋" w:hAnsi="仿宋" w:eastAsia="仿宋"/>
                <w:sz w:val="24"/>
                <w:szCs w:val="24"/>
                <w:shd w:val="clear" w:color="auto" w:fill="FFFFFF"/>
              </w:rPr>
              <w:t>:</w:t>
            </w:r>
            <w:r>
              <w:rPr>
                <w:rFonts w:hint="eastAsia" w:ascii="仿宋" w:hAnsi="仿宋" w:eastAsia="仿宋"/>
                <w:sz w:val="24"/>
                <w:szCs w:val="24"/>
                <w:shd w:val="clear" w:color="auto" w:fill="FFFFFF"/>
                <w:lang w:val="en-US" w:eastAsia="zh-CN"/>
              </w:rPr>
              <w:t>3</w:t>
            </w:r>
            <w:r>
              <w:rPr>
                <w:rFonts w:hint="eastAsia" w:ascii="仿宋" w:hAnsi="仿宋" w:eastAsia="仿宋"/>
                <w:sz w:val="24"/>
                <w:szCs w:val="24"/>
                <w:shd w:val="clear" w:color="auto" w:fill="FFFFFF"/>
              </w:rPr>
              <w:t>0-16:</w:t>
            </w:r>
            <w:r>
              <w:rPr>
                <w:rFonts w:hint="eastAsia" w:ascii="仿宋" w:hAnsi="仿宋" w:eastAsia="仿宋"/>
                <w:sz w:val="24"/>
                <w:szCs w:val="24"/>
                <w:shd w:val="clear" w:color="auto" w:fill="FFFFFF"/>
                <w:lang w:val="en-US" w:eastAsia="zh-CN"/>
              </w:rPr>
              <w:t>30</w:t>
            </w:r>
          </w:p>
        </w:tc>
        <w:tc>
          <w:tcPr>
            <w:tcW w:w="17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lang w:val="zh-CN" w:eastAsia="zh-CN"/>
              </w:rPr>
            </w:pPr>
            <w:r>
              <w:rPr>
                <w:rFonts w:hint="eastAsia" w:ascii="仿宋" w:hAnsi="仿宋" w:eastAsia="仿宋"/>
                <w:sz w:val="24"/>
                <w:szCs w:val="24"/>
                <w:shd w:val="clear" w:color="auto" w:fill="FFFFFF"/>
                <w:lang w:val="en-US" w:eastAsia="zh-CN"/>
              </w:rPr>
              <w:t>开幕式</w:t>
            </w:r>
          </w:p>
          <w:p>
            <w:pPr>
              <w:shd w:val="solid" w:color="FFFFFF" w:fill="auto"/>
              <w:autoSpaceDN w:val="0"/>
              <w:adjustRightInd w:val="0"/>
              <w:snapToGrid w:val="0"/>
              <w:jc w:val="center"/>
              <w:rPr>
                <w:rFonts w:hint="eastAsia" w:ascii="仿宋" w:hAnsi="仿宋" w:eastAsia="仿宋"/>
                <w:sz w:val="24"/>
                <w:szCs w:val="24"/>
                <w:shd w:val="clear" w:color="auto" w:fill="FFFFFF"/>
                <w:lang w:val="zh-CN" w:eastAsia="zh-CN"/>
              </w:rPr>
            </w:pPr>
            <w:r>
              <w:rPr>
                <w:rFonts w:hint="eastAsia" w:ascii="仿宋" w:hAnsi="仿宋" w:eastAsia="仿宋"/>
                <w:sz w:val="24"/>
                <w:szCs w:val="24"/>
                <w:shd w:val="clear" w:color="auto" w:fill="FFFFFF"/>
                <w:lang w:val="zh-CN" w:eastAsia="zh-CN"/>
              </w:rPr>
              <w:t>（</w:t>
            </w:r>
            <w:r>
              <w:rPr>
                <w:rFonts w:hint="eastAsia" w:ascii="仿宋" w:hAnsi="仿宋" w:eastAsia="仿宋"/>
                <w:sz w:val="24"/>
                <w:szCs w:val="24"/>
                <w:shd w:val="clear" w:color="auto" w:fill="FFFFFF"/>
                <w:lang w:val="en-US" w:eastAsia="zh-CN"/>
              </w:rPr>
              <w:t>含领队会</w:t>
            </w:r>
            <w:r>
              <w:rPr>
                <w:rFonts w:hint="eastAsia" w:ascii="仿宋" w:hAnsi="仿宋" w:eastAsia="仿宋"/>
                <w:sz w:val="24"/>
                <w:szCs w:val="24"/>
                <w:shd w:val="clear" w:color="auto" w:fill="FFFFFF"/>
                <w:lang w:val="zh-CN" w:eastAsia="zh-CN"/>
              </w:rPr>
              <w:t>）</w:t>
            </w:r>
          </w:p>
        </w:tc>
        <w:tc>
          <w:tcPr>
            <w:tcW w:w="1485" w:type="dxa"/>
            <w:vAlign w:val="center"/>
          </w:tcPr>
          <w:p>
            <w:pPr>
              <w:shd w:val="solid" w:color="FFFFFF" w:fill="auto"/>
              <w:autoSpaceDN w:val="0"/>
              <w:adjustRightInd w:val="0"/>
              <w:snapToGrid w:val="0"/>
              <w:jc w:val="both"/>
              <w:rPr>
                <w:rFonts w:hint="eastAsia" w:ascii="仿宋" w:hAnsi="仿宋" w:eastAsia="仿宋"/>
                <w:sz w:val="24"/>
                <w:szCs w:val="24"/>
                <w:shd w:val="clear" w:color="auto" w:fill="FFFFFF"/>
                <w:lang w:val="zh-CN" w:eastAsia="zh-CN"/>
              </w:rPr>
            </w:pPr>
            <w:r>
              <w:rPr>
                <w:rFonts w:hint="eastAsia" w:ascii="仿宋" w:hAnsi="仿宋" w:eastAsia="仿宋"/>
                <w:sz w:val="24"/>
                <w:szCs w:val="24"/>
                <w:shd w:val="clear" w:color="auto" w:fill="FFFFFF"/>
                <w:lang w:val="zh-CN" w:eastAsia="zh-CN"/>
              </w:rPr>
              <w:t>领导、嘉宾、裁判、各参赛队领队</w:t>
            </w:r>
            <w:r>
              <w:rPr>
                <w:rFonts w:hint="eastAsia" w:ascii="仿宋" w:hAnsi="仿宋" w:eastAsia="仿宋"/>
                <w:color w:val="auto"/>
                <w:sz w:val="24"/>
                <w:szCs w:val="24"/>
                <w:shd w:val="clear" w:color="auto" w:fill="FFFFFF"/>
                <w:lang w:val="zh-CN" w:eastAsia="zh-CN"/>
              </w:rPr>
              <w:t>及1位选手</w:t>
            </w:r>
          </w:p>
        </w:tc>
        <w:tc>
          <w:tcPr>
            <w:tcW w:w="1331" w:type="dxa"/>
            <w:vAlign w:val="center"/>
          </w:tcPr>
          <w:p>
            <w:pPr>
              <w:shd w:val="solid" w:color="FFFFFF" w:fill="auto"/>
              <w:autoSpaceDN w:val="0"/>
              <w:adjustRightInd w:val="0"/>
              <w:snapToGrid w:val="0"/>
              <w:ind w:firstLine="240" w:firstLineChars="100"/>
              <w:jc w:val="both"/>
              <w:rPr>
                <w:rFonts w:hint="eastAsia" w:ascii="仿宋" w:hAnsi="仿宋" w:eastAsia="仿宋"/>
                <w:color w:val="auto"/>
                <w:sz w:val="24"/>
                <w:szCs w:val="24"/>
                <w:shd w:val="clear" w:color="auto" w:fill="FFFFFF"/>
                <w:lang w:eastAsia="zh-CN"/>
              </w:rPr>
            </w:pPr>
            <w:r>
              <w:rPr>
                <w:rFonts w:hint="eastAsia" w:ascii="仿宋" w:hAnsi="仿宋" w:eastAsia="仿宋"/>
                <w:color w:val="auto"/>
                <w:sz w:val="24"/>
                <w:szCs w:val="24"/>
                <w:shd w:val="clear" w:color="auto" w:fill="FFFFFF"/>
                <w:lang w:eastAsia="zh-CN"/>
              </w:rPr>
              <w:t>城职院</w:t>
            </w:r>
          </w:p>
          <w:p>
            <w:pPr>
              <w:shd w:val="solid" w:color="FFFFFF" w:fill="auto"/>
              <w:autoSpaceDN w:val="0"/>
              <w:adjustRightInd w:val="0"/>
              <w:snapToGrid w:val="0"/>
              <w:jc w:val="center"/>
              <w:rPr>
                <w:rFonts w:hint="eastAsia" w:ascii="仿宋" w:hAnsi="仿宋" w:eastAsia="仿宋"/>
                <w:color w:val="auto"/>
                <w:sz w:val="24"/>
                <w:szCs w:val="24"/>
                <w:shd w:val="clear" w:color="auto" w:fill="FFFFFF"/>
                <w:lang w:val="zh-CN" w:eastAsia="zh-CN"/>
              </w:rPr>
            </w:pPr>
            <w:r>
              <w:rPr>
                <w:rFonts w:hint="eastAsia" w:ascii="仿宋" w:hAnsi="仿宋" w:eastAsia="仿宋"/>
                <w:color w:val="auto"/>
                <w:sz w:val="24"/>
                <w:szCs w:val="24"/>
                <w:shd w:val="clear" w:color="auto" w:fill="FFFFFF"/>
                <w:lang w:eastAsia="zh-CN"/>
              </w:rPr>
              <w:t>博学馆</w:t>
            </w:r>
            <w:r>
              <w:rPr>
                <w:rFonts w:hint="eastAsia" w:ascii="仿宋" w:hAnsi="仿宋" w:eastAsia="仿宋"/>
                <w:color w:val="auto"/>
                <w:sz w:val="24"/>
                <w:szCs w:val="24"/>
                <w:shd w:val="clear" w:color="auto" w:fill="FFFFFF"/>
                <w:lang w:val="en-US" w:eastAsia="zh-CN"/>
              </w:rPr>
              <w:t>510</w:t>
            </w:r>
            <w:r>
              <w:rPr>
                <w:rFonts w:hint="eastAsia" w:ascii="仿宋" w:hAnsi="仿宋" w:eastAsia="仿宋"/>
                <w:color w:val="auto"/>
                <w:sz w:val="24"/>
                <w:szCs w:val="24"/>
                <w:shd w:val="clear" w:color="auto" w:fill="FFFFFF"/>
              </w:rPr>
              <w:t>会议室</w:t>
            </w:r>
          </w:p>
        </w:tc>
        <w:tc>
          <w:tcPr>
            <w:tcW w:w="1234" w:type="dxa"/>
            <w:vMerge w:val="continue"/>
            <w:vAlign w:val="center"/>
          </w:tcPr>
          <w:p>
            <w:pPr>
              <w:shd w:val="solid" w:color="FFFFFF" w:fill="auto"/>
              <w:autoSpaceDN w:val="0"/>
              <w:adjustRightInd w:val="0"/>
              <w:snapToGrid w:val="0"/>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16:30-17:00</w:t>
            </w:r>
          </w:p>
        </w:tc>
        <w:tc>
          <w:tcPr>
            <w:tcW w:w="17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熟悉场地</w:t>
            </w:r>
          </w:p>
        </w:tc>
        <w:tc>
          <w:tcPr>
            <w:tcW w:w="14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各参赛队</w:t>
            </w:r>
          </w:p>
        </w:tc>
        <w:tc>
          <w:tcPr>
            <w:tcW w:w="1331"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竞赛场地</w:t>
            </w:r>
          </w:p>
        </w:tc>
        <w:tc>
          <w:tcPr>
            <w:tcW w:w="1234" w:type="dxa"/>
            <w:vMerge w:val="continue"/>
            <w:vAlign w:val="center"/>
          </w:tcPr>
          <w:p>
            <w:pPr>
              <w:shd w:val="solid" w:color="FFFFFF" w:fill="auto"/>
              <w:autoSpaceDN w:val="0"/>
              <w:adjustRightInd w:val="0"/>
              <w:snapToGrid w:val="0"/>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17:00</w:t>
            </w:r>
          </w:p>
        </w:tc>
        <w:tc>
          <w:tcPr>
            <w:tcW w:w="1785" w:type="dxa"/>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检查封闭赛场</w:t>
            </w:r>
          </w:p>
        </w:tc>
        <w:tc>
          <w:tcPr>
            <w:tcW w:w="14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裁判长</w:t>
            </w:r>
          </w:p>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监督组</w:t>
            </w:r>
          </w:p>
        </w:tc>
        <w:tc>
          <w:tcPr>
            <w:tcW w:w="1331" w:type="dxa"/>
            <w:vAlign w:val="center"/>
          </w:tcPr>
          <w:p>
            <w:pPr>
              <w:shd w:val="solid" w:color="FFFFFF" w:fill="auto"/>
              <w:autoSpaceDN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竞赛场地</w:t>
            </w:r>
          </w:p>
        </w:tc>
        <w:tc>
          <w:tcPr>
            <w:tcW w:w="1234" w:type="dxa"/>
            <w:vAlign w:val="center"/>
          </w:tcPr>
          <w:p>
            <w:pPr>
              <w:shd w:val="solid" w:color="FFFFFF" w:fill="auto"/>
              <w:autoSpaceDN w:val="0"/>
              <w:adjustRightInd w:val="0"/>
              <w:snapToGrid w:val="0"/>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hint="default" w:ascii="仿宋" w:hAnsi="仿宋" w:eastAsia="仿宋"/>
                <w:sz w:val="24"/>
                <w:szCs w:val="24"/>
                <w:shd w:val="clear" w:color="auto" w:fill="FFFFFF"/>
                <w:lang w:val="en-US" w:eastAsia="zh-CN"/>
              </w:rPr>
            </w:pPr>
            <w:r>
              <w:rPr>
                <w:rFonts w:hint="eastAsia" w:ascii="仿宋" w:hAnsi="仿宋" w:eastAsia="仿宋"/>
                <w:sz w:val="24"/>
                <w:szCs w:val="24"/>
                <w:shd w:val="clear" w:color="auto" w:fill="FFFFFF"/>
                <w:lang w:val="en-US" w:eastAsia="zh-CN"/>
              </w:rPr>
              <w:t>17:00-17:30</w:t>
            </w:r>
          </w:p>
        </w:tc>
        <w:tc>
          <w:tcPr>
            <w:tcW w:w="17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lang w:val="en-US" w:eastAsia="zh-CN"/>
              </w:rPr>
            </w:pPr>
            <w:r>
              <w:rPr>
                <w:rFonts w:hint="eastAsia" w:ascii="仿宋" w:hAnsi="仿宋" w:eastAsia="仿宋"/>
                <w:sz w:val="24"/>
                <w:szCs w:val="24"/>
                <w:shd w:val="clear" w:color="auto" w:fill="FFFFFF"/>
                <w:lang w:val="en-US" w:eastAsia="zh-CN"/>
              </w:rPr>
              <w:t>晚餐</w:t>
            </w:r>
          </w:p>
        </w:tc>
        <w:tc>
          <w:tcPr>
            <w:tcW w:w="1485" w:type="dxa"/>
            <w:vAlign w:val="center"/>
          </w:tcPr>
          <w:p>
            <w:pPr>
              <w:shd w:val="solid" w:color="FFFFFF" w:fill="auto"/>
              <w:autoSpaceDN w:val="0"/>
              <w:adjustRightInd w:val="0"/>
              <w:snapToGrid w:val="0"/>
              <w:jc w:val="center"/>
              <w:rPr>
                <w:rFonts w:hint="default" w:ascii="仿宋" w:hAnsi="仿宋" w:eastAsia="仿宋"/>
                <w:sz w:val="24"/>
                <w:szCs w:val="24"/>
                <w:shd w:val="clear" w:color="auto" w:fill="FFFFFF"/>
                <w:lang w:val="en-US" w:eastAsia="zh-CN"/>
              </w:rPr>
            </w:pPr>
            <w:r>
              <w:rPr>
                <w:rFonts w:hint="eastAsia" w:ascii="仿宋" w:hAnsi="仿宋" w:eastAsia="仿宋"/>
                <w:sz w:val="24"/>
                <w:szCs w:val="24"/>
                <w:shd w:val="clear" w:color="auto" w:fill="FFFFFF"/>
                <w:lang w:val="en-US" w:eastAsia="zh-CN"/>
              </w:rPr>
              <w:t>各参赛队</w:t>
            </w:r>
          </w:p>
        </w:tc>
        <w:tc>
          <w:tcPr>
            <w:tcW w:w="1331" w:type="dxa"/>
            <w:vAlign w:val="center"/>
          </w:tcPr>
          <w:p>
            <w:pPr>
              <w:shd w:val="solid" w:color="FFFFFF" w:fill="auto"/>
              <w:autoSpaceDN w:val="0"/>
              <w:jc w:val="center"/>
              <w:rPr>
                <w:rFonts w:hint="default" w:ascii="仿宋" w:hAnsi="仿宋" w:eastAsia="仿宋"/>
                <w:sz w:val="24"/>
                <w:szCs w:val="24"/>
                <w:shd w:val="clear" w:color="auto" w:fill="FFFFFF"/>
                <w:lang w:val="en-US" w:eastAsia="zh-CN"/>
              </w:rPr>
            </w:pPr>
            <w:r>
              <w:rPr>
                <w:rFonts w:hint="eastAsia" w:ascii="仿宋" w:hAnsi="仿宋" w:eastAsia="仿宋"/>
                <w:sz w:val="24"/>
                <w:szCs w:val="24"/>
                <w:shd w:val="clear" w:color="auto" w:fill="FFFFFF"/>
                <w:lang w:val="en-US" w:eastAsia="zh-CN"/>
              </w:rPr>
              <w:t>学校食堂</w:t>
            </w:r>
          </w:p>
        </w:tc>
        <w:tc>
          <w:tcPr>
            <w:tcW w:w="1234" w:type="dxa"/>
            <w:vAlign w:val="center"/>
          </w:tcPr>
          <w:p>
            <w:pPr>
              <w:shd w:val="solid" w:color="FFFFFF" w:fill="auto"/>
              <w:autoSpaceDN w:val="0"/>
              <w:adjustRightInd w:val="0"/>
              <w:snapToGrid w:val="0"/>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hint="default" w:ascii="仿宋" w:hAnsi="仿宋" w:eastAsia="仿宋"/>
                <w:sz w:val="24"/>
                <w:szCs w:val="24"/>
                <w:shd w:val="clear" w:color="auto" w:fill="FFFFFF"/>
                <w:lang w:val="en-US" w:eastAsia="zh-CN"/>
              </w:rPr>
            </w:pPr>
            <w:r>
              <w:rPr>
                <w:rFonts w:hint="eastAsia" w:ascii="仿宋" w:hAnsi="仿宋" w:eastAsia="仿宋"/>
                <w:sz w:val="24"/>
                <w:szCs w:val="24"/>
                <w:shd w:val="clear" w:color="auto" w:fill="FFFFFF"/>
              </w:rPr>
              <w:t>17:</w:t>
            </w:r>
            <w:r>
              <w:rPr>
                <w:rFonts w:hint="eastAsia" w:ascii="仿宋" w:hAnsi="仿宋" w:eastAsia="仿宋"/>
                <w:sz w:val="24"/>
                <w:szCs w:val="24"/>
                <w:shd w:val="clear" w:color="auto" w:fill="FFFFFF"/>
                <w:lang w:val="en-US" w:eastAsia="zh-CN"/>
              </w:rPr>
              <w:t>40</w:t>
            </w:r>
          </w:p>
        </w:tc>
        <w:tc>
          <w:tcPr>
            <w:tcW w:w="1785" w:type="dxa"/>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返回住宿宾馆</w:t>
            </w:r>
          </w:p>
        </w:tc>
        <w:tc>
          <w:tcPr>
            <w:tcW w:w="1485" w:type="dxa"/>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各参赛队</w:t>
            </w:r>
          </w:p>
        </w:tc>
        <w:tc>
          <w:tcPr>
            <w:tcW w:w="1331" w:type="dxa"/>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竞赛场地</w:t>
            </w:r>
          </w:p>
        </w:tc>
        <w:tc>
          <w:tcPr>
            <w:tcW w:w="1234" w:type="dxa"/>
            <w:vAlign w:val="center"/>
          </w:tcPr>
          <w:p>
            <w:pPr>
              <w:shd w:val="solid" w:color="FFFFFF" w:fill="auto"/>
              <w:autoSpaceDN w:val="0"/>
              <w:adjustRightInd w:val="0"/>
              <w:snapToGrid w:val="0"/>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290" w:type="dxa"/>
            <w:vMerge w:val="restart"/>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lang w:val="en-US" w:eastAsia="zh-CN"/>
              </w:rPr>
              <w:t>4</w:t>
            </w:r>
            <w:r>
              <w:rPr>
                <w:rFonts w:hint="eastAsia" w:ascii="仿宋" w:hAnsi="仿宋" w:eastAsia="仿宋"/>
                <w:sz w:val="24"/>
                <w:szCs w:val="24"/>
                <w:shd w:val="clear" w:color="auto" w:fill="FFFFFF"/>
              </w:rPr>
              <w:t>月2</w:t>
            </w:r>
            <w:r>
              <w:rPr>
                <w:rFonts w:hint="eastAsia" w:ascii="仿宋" w:hAnsi="仿宋" w:eastAsia="仿宋"/>
                <w:sz w:val="24"/>
                <w:szCs w:val="24"/>
                <w:shd w:val="clear" w:color="auto" w:fill="FFFFFF"/>
                <w:lang w:val="en-US" w:eastAsia="zh-CN"/>
              </w:rPr>
              <w:t>7</w:t>
            </w:r>
            <w:r>
              <w:rPr>
                <w:rFonts w:hint="eastAsia" w:ascii="仿宋" w:hAnsi="仿宋" w:eastAsia="仿宋"/>
                <w:sz w:val="24"/>
                <w:szCs w:val="24"/>
                <w:shd w:val="clear" w:color="auto" w:fill="FFFFFF"/>
              </w:rPr>
              <w:t>日</w:t>
            </w:r>
          </w:p>
        </w:tc>
        <w:tc>
          <w:tcPr>
            <w:tcW w:w="1740" w:type="dxa"/>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7:00</w:t>
            </w:r>
            <w:r>
              <w:rPr>
                <w:rFonts w:hint="eastAsia" w:ascii="仿宋" w:hAnsi="仿宋" w:eastAsia="仿宋"/>
                <w:b/>
                <w:bCs/>
                <w:sz w:val="24"/>
                <w:szCs w:val="24"/>
                <w:shd w:val="clear" w:color="auto" w:fill="FFFFFF"/>
              </w:rPr>
              <w:t>准时</w:t>
            </w:r>
          </w:p>
        </w:tc>
        <w:tc>
          <w:tcPr>
            <w:tcW w:w="1785" w:type="dxa"/>
            <w:vAlign w:val="center"/>
          </w:tcPr>
          <w:p>
            <w:pPr>
              <w:shd w:val="solid" w:color="FFFFFF" w:fill="auto"/>
              <w:autoSpaceDN w:val="0"/>
              <w:adjustRightInd w:val="0"/>
              <w:snapToGrid w:val="0"/>
              <w:jc w:val="both"/>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参赛队</w:t>
            </w:r>
            <w:r>
              <w:rPr>
                <w:rFonts w:hint="eastAsia" w:ascii="仿宋" w:hAnsi="仿宋" w:eastAsia="仿宋"/>
                <w:sz w:val="24"/>
                <w:szCs w:val="24"/>
                <w:shd w:val="clear" w:color="auto" w:fill="FFFFFF"/>
                <w:lang w:val="en-US" w:eastAsia="zh-CN"/>
              </w:rPr>
              <w:t>在</w:t>
            </w:r>
            <w:r>
              <w:rPr>
                <w:rFonts w:hint="eastAsia" w:ascii="仿宋" w:hAnsi="仿宋" w:eastAsia="仿宋"/>
                <w:sz w:val="24"/>
                <w:szCs w:val="24"/>
                <w:shd w:val="clear" w:color="auto" w:fill="FFFFFF"/>
              </w:rPr>
              <w:t>宾馆门口集合，乘车往赛场</w:t>
            </w:r>
          </w:p>
        </w:tc>
        <w:tc>
          <w:tcPr>
            <w:tcW w:w="1485" w:type="dxa"/>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各参赛队</w:t>
            </w:r>
          </w:p>
        </w:tc>
        <w:tc>
          <w:tcPr>
            <w:tcW w:w="1331" w:type="dxa"/>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住宿酒店</w:t>
            </w:r>
          </w:p>
        </w:tc>
        <w:tc>
          <w:tcPr>
            <w:tcW w:w="1234" w:type="dxa"/>
            <w:vMerge w:val="restart"/>
            <w:vAlign w:val="center"/>
          </w:tcPr>
          <w:p>
            <w:pPr>
              <w:shd w:val="solid" w:color="FFFFFF" w:fill="auto"/>
              <w:autoSpaceDN w:val="0"/>
              <w:adjustRightInd w:val="0"/>
              <w:snapToGrid w:val="0"/>
              <w:jc w:val="center"/>
              <w:rPr>
                <w:rFonts w:hint="default" w:ascii="仿宋" w:hAnsi="仿宋" w:eastAsia="仿宋"/>
                <w:sz w:val="24"/>
                <w:szCs w:val="24"/>
                <w:shd w:val="clear" w:color="auto" w:fill="FFFFFF"/>
                <w:lang w:val="en-US" w:eastAsia="zh-CN"/>
              </w:rPr>
            </w:pPr>
            <w:r>
              <w:rPr>
                <w:rFonts w:hint="eastAsia" w:ascii="仿宋" w:hAnsi="仿宋" w:eastAsia="仿宋"/>
                <w:sz w:val="24"/>
                <w:szCs w:val="24"/>
                <w:shd w:val="clear" w:color="auto" w:fill="FFFFFF"/>
              </w:rPr>
              <w:t>请接受体温检测</w:t>
            </w:r>
            <w:r>
              <w:rPr>
                <w:rFonts w:hint="eastAsia" w:ascii="仿宋" w:hAnsi="仿宋" w:eastAsia="仿宋"/>
                <w:sz w:val="24"/>
                <w:szCs w:val="24"/>
                <w:shd w:val="clear" w:color="auto" w:fill="FFFFFF"/>
                <w:lang w:eastAsia="zh-CN"/>
              </w:rPr>
              <w:t>，</w:t>
            </w:r>
            <w:r>
              <w:rPr>
                <w:rFonts w:hint="eastAsia" w:ascii="仿宋" w:hAnsi="仿宋" w:eastAsia="仿宋"/>
                <w:b/>
                <w:bCs/>
                <w:sz w:val="24"/>
                <w:szCs w:val="24"/>
                <w:shd w:val="clear" w:color="auto" w:fill="FFFFFF"/>
                <w:lang w:val="en-US" w:eastAsia="zh-CN"/>
              </w:rPr>
              <w:t>参赛学生务必携带参赛证、身份证、学生证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7:20</w:t>
            </w:r>
          </w:p>
        </w:tc>
        <w:tc>
          <w:tcPr>
            <w:tcW w:w="17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竞赛场地前</w:t>
            </w:r>
          </w:p>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整队</w:t>
            </w:r>
          </w:p>
        </w:tc>
        <w:tc>
          <w:tcPr>
            <w:tcW w:w="14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各参赛队</w:t>
            </w:r>
          </w:p>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工作人员</w:t>
            </w:r>
          </w:p>
        </w:tc>
        <w:tc>
          <w:tcPr>
            <w:tcW w:w="1331"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竞赛</w:t>
            </w:r>
          </w:p>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场地前</w:t>
            </w:r>
          </w:p>
        </w:tc>
        <w:tc>
          <w:tcPr>
            <w:tcW w:w="1234" w:type="dxa"/>
            <w:vMerge w:val="continue"/>
            <w:vAlign w:val="center"/>
          </w:tcPr>
          <w:p>
            <w:pPr>
              <w:shd w:val="solid" w:color="FFFFFF" w:fill="auto"/>
              <w:autoSpaceDN w:val="0"/>
              <w:adjustRightInd w:val="0"/>
              <w:snapToGrid w:val="0"/>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Merge w:val="restart"/>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7:30-8:00</w:t>
            </w:r>
          </w:p>
        </w:tc>
        <w:tc>
          <w:tcPr>
            <w:tcW w:w="17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lang w:eastAsia="zh-CN"/>
              </w:rPr>
            </w:pPr>
            <w:r>
              <w:rPr>
                <w:rFonts w:hint="eastAsia" w:ascii="仿宋" w:hAnsi="仿宋" w:eastAsia="仿宋"/>
                <w:sz w:val="24"/>
                <w:szCs w:val="24"/>
                <w:shd w:val="clear" w:color="auto" w:fill="FFFFFF"/>
              </w:rPr>
              <w:t>检录进场</w:t>
            </w:r>
          </w:p>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第一次加密抽签（抽序号）</w:t>
            </w:r>
          </w:p>
        </w:tc>
        <w:tc>
          <w:tcPr>
            <w:tcW w:w="1485" w:type="dxa"/>
            <w:vAlign w:val="center"/>
          </w:tcPr>
          <w:p>
            <w:pPr>
              <w:shd w:val="solid" w:color="FFFFFF" w:fill="auto"/>
              <w:autoSpaceDN w:val="0"/>
              <w:adjustRightInd w:val="0"/>
              <w:snapToGrid w:val="0"/>
              <w:jc w:val="both"/>
              <w:rPr>
                <w:rFonts w:hint="eastAsia" w:ascii="仿宋" w:hAnsi="仿宋" w:eastAsia="仿宋"/>
                <w:sz w:val="24"/>
                <w:szCs w:val="24"/>
                <w:shd w:val="clear" w:color="auto" w:fill="FFFFFF"/>
              </w:rPr>
            </w:pPr>
            <w:r>
              <w:rPr>
                <w:rFonts w:hint="eastAsia" w:ascii="仿宋" w:hAnsi="仿宋" w:eastAsia="仿宋"/>
                <w:sz w:val="24"/>
                <w:szCs w:val="24"/>
                <w:shd w:val="clear" w:color="auto" w:fill="FFFFFF"/>
                <w:lang w:eastAsia="zh-CN"/>
              </w:rPr>
              <w:t>领队老师</w:t>
            </w:r>
            <w:r>
              <w:rPr>
                <w:rFonts w:hint="eastAsia" w:ascii="仿宋" w:hAnsi="仿宋" w:eastAsia="仿宋"/>
                <w:sz w:val="24"/>
                <w:szCs w:val="24"/>
                <w:shd w:val="clear" w:color="auto" w:fill="FFFFFF"/>
              </w:rPr>
              <w:t>、抽签加密裁判</w:t>
            </w:r>
          </w:p>
        </w:tc>
        <w:tc>
          <w:tcPr>
            <w:tcW w:w="1331" w:type="dxa"/>
            <w:vAlign w:val="center"/>
          </w:tcPr>
          <w:p>
            <w:pPr>
              <w:shd w:val="solid" w:color="FFFFFF" w:fill="auto"/>
              <w:autoSpaceDN w:val="0"/>
              <w:adjustRightInd w:val="0"/>
              <w:snapToGrid w:val="0"/>
              <w:jc w:val="center"/>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抽签区域</w:t>
            </w:r>
          </w:p>
        </w:tc>
        <w:tc>
          <w:tcPr>
            <w:tcW w:w="1234" w:type="dxa"/>
            <w:vAlign w:val="center"/>
          </w:tcPr>
          <w:p>
            <w:pPr>
              <w:shd w:val="solid" w:color="FFFFFF" w:fill="auto"/>
              <w:autoSpaceDN w:val="0"/>
              <w:adjustRightInd w:val="0"/>
              <w:snapToGrid w:val="0"/>
              <w:rPr>
                <w:rFonts w:ascii="仿宋" w:hAnsi="仿宋" w:eastAsia="仿宋"/>
                <w:sz w:val="24"/>
                <w:szCs w:val="24"/>
                <w:shd w:val="clear" w:color="auto" w:fill="FFFFFF"/>
              </w:rPr>
            </w:pPr>
            <w:r>
              <w:rPr>
                <w:rFonts w:hint="eastAsia" w:ascii="仿宋" w:hAnsi="仿宋" w:eastAsia="仿宋"/>
                <w:sz w:val="24"/>
                <w:szCs w:val="24"/>
                <w:shd w:val="clear" w:color="auto" w:fill="FFFFFF"/>
              </w:rPr>
              <w:t>按照竞赛指南参赛队伍名单顺序抽签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Merge w:val="continue"/>
            <w:vAlign w:val="center"/>
          </w:tcPr>
          <w:p>
            <w:pPr>
              <w:shd w:val="solid" w:color="FFFFFF" w:fill="auto"/>
              <w:autoSpaceDN w:val="0"/>
              <w:adjustRightInd w:val="0"/>
              <w:snapToGrid w:val="0"/>
              <w:jc w:val="center"/>
              <w:rPr>
                <w:rFonts w:ascii="仿宋" w:hAnsi="仿宋" w:eastAsia="仿宋"/>
                <w:sz w:val="24"/>
                <w:szCs w:val="24"/>
                <w:shd w:val="clear" w:color="auto" w:fill="FFFFFF"/>
              </w:rPr>
            </w:pPr>
          </w:p>
        </w:tc>
        <w:tc>
          <w:tcPr>
            <w:tcW w:w="1785" w:type="dxa"/>
            <w:vAlign w:val="center"/>
          </w:tcPr>
          <w:p>
            <w:pPr>
              <w:shd w:val="solid" w:color="FFFFFF" w:fill="auto"/>
              <w:autoSpaceDN w:val="0"/>
              <w:adjustRightInd w:val="0"/>
              <w:snapToGrid w:val="0"/>
              <w:rPr>
                <w:rFonts w:ascii="仿宋" w:hAnsi="仿宋" w:eastAsia="仿宋"/>
                <w:sz w:val="24"/>
                <w:szCs w:val="24"/>
                <w:shd w:val="clear" w:color="auto" w:fill="FFFFFF"/>
              </w:rPr>
            </w:pPr>
            <w:r>
              <w:rPr>
                <w:rFonts w:hint="eastAsia" w:ascii="仿宋" w:hAnsi="仿宋" w:eastAsia="仿宋"/>
                <w:sz w:val="24"/>
                <w:szCs w:val="24"/>
                <w:shd w:val="clear" w:color="auto" w:fill="FFFFFF"/>
              </w:rPr>
              <w:t>第二次加密抽签（抽赛位号）</w:t>
            </w:r>
          </w:p>
        </w:tc>
        <w:tc>
          <w:tcPr>
            <w:tcW w:w="1485" w:type="dxa"/>
            <w:vAlign w:val="center"/>
          </w:tcPr>
          <w:p>
            <w:pPr>
              <w:shd w:val="solid" w:color="FFFFFF" w:fill="auto"/>
              <w:autoSpaceDN w:val="0"/>
              <w:adjustRightInd w:val="0"/>
              <w:snapToGrid w:val="0"/>
              <w:rPr>
                <w:rFonts w:ascii="仿宋" w:hAnsi="仿宋" w:eastAsia="仿宋"/>
                <w:sz w:val="24"/>
                <w:szCs w:val="24"/>
                <w:shd w:val="clear" w:color="auto" w:fill="FFFFFF"/>
              </w:rPr>
            </w:pPr>
            <w:r>
              <w:rPr>
                <w:rFonts w:hint="eastAsia" w:ascii="仿宋" w:hAnsi="仿宋" w:eastAsia="仿宋"/>
                <w:sz w:val="24"/>
                <w:szCs w:val="24"/>
                <w:shd w:val="clear" w:color="auto" w:fill="FFFFFF"/>
              </w:rPr>
              <w:t>参赛选手、抽签加密裁判</w:t>
            </w:r>
          </w:p>
        </w:tc>
        <w:tc>
          <w:tcPr>
            <w:tcW w:w="1331" w:type="dxa"/>
            <w:vAlign w:val="center"/>
          </w:tcPr>
          <w:p>
            <w:pPr>
              <w:shd w:val="solid" w:color="FFFFFF" w:fill="auto"/>
              <w:autoSpaceDN w:val="0"/>
              <w:adjustRightInd w:val="0"/>
              <w:snapToGrid w:val="0"/>
              <w:jc w:val="center"/>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抽签区域</w:t>
            </w:r>
          </w:p>
        </w:tc>
        <w:tc>
          <w:tcPr>
            <w:tcW w:w="1234" w:type="dxa"/>
            <w:vAlign w:val="center"/>
          </w:tcPr>
          <w:p>
            <w:pPr>
              <w:shd w:val="solid" w:color="FFFFFF" w:fill="auto"/>
              <w:autoSpaceDN w:val="0"/>
              <w:adjustRightInd w:val="0"/>
              <w:snapToGrid w:val="0"/>
              <w:rPr>
                <w:rFonts w:ascii="仿宋" w:hAnsi="仿宋" w:eastAsia="仿宋"/>
                <w:sz w:val="24"/>
                <w:szCs w:val="24"/>
                <w:shd w:val="clear" w:color="auto" w:fill="FFFFFF"/>
              </w:rPr>
            </w:pPr>
            <w:r>
              <w:rPr>
                <w:rFonts w:hint="eastAsia" w:ascii="仿宋" w:hAnsi="仿宋" w:eastAsia="仿宋"/>
                <w:sz w:val="24"/>
                <w:szCs w:val="24"/>
                <w:shd w:val="clear" w:color="auto" w:fill="FFFFFF"/>
              </w:rPr>
              <w:t>选手进入赛场按照赛位号就座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7:45</w:t>
            </w:r>
          </w:p>
        </w:tc>
        <w:tc>
          <w:tcPr>
            <w:tcW w:w="1785" w:type="dxa"/>
            <w:vAlign w:val="center"/>
          </w:tcPr>
          <w:p>
            <w:pPr>
              <w:shd w:val="solid" w:color="FFFFFF" w:fill="auto"/>
              <w:autoSpaceDN w:val="0"/>
              <w:adjustRightInd w:val="0"/>
              <w:snapToGrid w:val="0"/>
              <w:rPr>
                <w:rFonts w:ascii="仿宋" w:hAnsi="仿宋" w:eastAsia="仿宋"/>
                <w:sz w:val="24"/>
                <w:szCs w:val="24"/>
                <w:shd w:val="clear" w:color="auto" w:fill="FFFFFF"/>
              </w:rPr>
            </w:pPr>
            <w:r>
              <w:rPr>
                <w:rFonts w:hint="eastAsia" w:ascii="仿宋" w:hAnsi="仿宋" w:eastAsia="仿宋"/>
                <w:sz w:val="24"/>
                <w:szCs w:val="24"/>
                <w:shd w:val="clear" w:color="auto" w:fill="FFFFFF"/>
              </w:rPr>
              <w:t>领队、指导教师入场</w:t>
            </w:r>
          </w:p>
        </w:tc>
        <w:tc>
          <w:tcPr>
            <w:tcW w:w="1485" w:type="dxa"/>
            <w:vAlign w:val="center"/>
          </w:tcPr>
          <w:p>
            <w:pPr>
              <w:shd w:val="solid" w:color="FFFFFF" w:fill="auto"/>
              <w:autoSpaceDN w:val="0"/>
              <w:adjustRightInd w:val="0"/>
              <w:snapToGrid w:val="0"/>
              <w:rPr>
                <w:rFonts w:ascii="仿宋" w:hAnsi="仿宋" w:eastAsia="仿宋"/>
                <w:sz w:val="24"/>
                <w:szCs w:val="24"/>
                <w:shd w:val="clear" w:color="auto" w:fill="FFFFFF"/>
              </w:rPr>
            </w:pPr>
          </w:p>
        </w:tc>
        <w:tc>
          <w:tcPr>
            <w:tcW w:w="1331" w:type="dxa"/>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休息区</w:t>
            </w:r>
          </w:p>
        </w:tc>
        <w:tc>
          <w:tcPr>
            <w:tcW w:w="1234" w:type="dxa"/>
            <w:vAlign w:val="center"/>
          </w:tcPr>
          <w:p>
            <w:pPr>
              <w:shd w:val="solid" w:color="FFFFFF" w:fill="auto"/>
              <w:autoSpaceDN w:val="0"/>
              <w:adjustRightInd w:val="0"/>
              <w:snapToGrid w:val="0"/>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hint="default" w:ascii="仿宋" w:hAnsi="仿宋" w:eastAsia="仿宋"/>
                <w:sz w:val="24"/>
                <w:szCs w:val="24"/>
                <w:shd w:val="clear" w:color="auto" w:fill="FFFFFF"/>
                <w:lang w:val="en-US" w:eastAsia="zh-CN"/>
              </w:rPr>
            </w:pPr>
            <w:r>
              <w:rPr>
                <w:rFonts w:hint="eastAsia" w:ascii="仿宋" w:hAnsi="仿宋" w:eastAsia="仿宋"/>
                <w:sz w:val="24"/>
                <w:szCs w:val="24"/>
                <w:shd w:val="clear" w:color="auto" w:fill="FFFFFF"/>
                <w:lang w:val="en-US" w:eastAsia="zh-CN"/>
              </w:rPr>
              <w:t>8</w:t>
            </w:r>
            <w:r>
              <w:rPr>
                <w:rFonts w:hint="eastAsia" w:ascii="仿宋" w:hAnsi="仿宋" w:eastAsia="仿宋"/>
                <w:sz w:val="24"/>
                <w:szCs w:val="24"/>
                <w:shd w:val="clear" w:color="auto" w:fill="FFFFFF"/>
              </w:rPr>
              <w:t>:</w:t>
            </w:r>
            <w:r>
              <w:rPr>
                <w:rFonts w:hint="eastAsia" w:ascii="仿宋" w:hAnsi="仿宋" w:eastAsia="仿宋"/>
                <w:sz w:val="24"/>
                <w:szCs w:val="24"/>
                <w:shd w:val="clear" w:color="auto" w:fill="FFFFFF"/>
                <w:lang w:val="en-US" w:eastAsia="zh-CN"/>
              </w:rPr>
              <w:t>00-12</w:t>
            </w:r>
            <w:r>
              <w:rPr>
                <w:rFonts w:hint="eastAsia" w:ascii="仿宋" w:hAnsi="仿宋" w:eastAsia="仿宋"/>
                <w:sz w:val="24"/>
                <w:szCs w:val="24"/>
                <w:shd w:val="clear" w:color="auto" w:fill="FFFFFF"/>
              </w:rPr>
              <w:t>:</w:t>
            </w:r>
            <w:r>
              <w:rPr>
                <w:rFonts w:hint="eastAsia" w:ascii="仿宋" w:hAnsi="仿宋" w:eastAsia="仿宋"/>
                <w:sz w:val="24"/>
                <w:szCs w:val="24"/>
                <w:shd w:val="clear" w:color="auto" w:fill="FFFFFF"/>
                <w:lang w:val="en-US" w:eastAsia="zh-CN"/>
              </w:rPr>
              <w:t>00</w:t>
            </w:r>
          </w:p>
        </w:tc>
        <w:tc>
          <w:tcPr>
            <w:tcW w:w="1785" w:type="dxa"/>
            <w:vAlign w:val="center"/>
          </w:tcPr>
          <w:p>
            <w:pPr>
              <w:shd w:val="solid" w:color="FFFFFF" w:fill="auto"/>
              <w:autoSpaceDN w:val="0"/>
              <w:adjustRightInd w:val="0"/>
              <w:snapToGrid w:val="0"/>
              <w:ind w:left="0" w:leftChars="0" w:right="0" w:rightChars="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外贸B2B模块</w:t>
            </w:r>
          </w:p>
        </w:tc>
        <w:tc>
          <w:tcPr>
            <w:tcW w:w="1485" w:type="dxa"/>
            <w:vAlign w:val="center"/>
          </w:tcPr>
          <w:p>
            <w:pPr>
              <w:shd w:val="solid" w:color="FFFFFF" w:fill="auto"/>
              <w:autoSpaceDN w:val="0"/>
              <w:adjustRightInd w:val="0"/>
              <w:snapToGrid w:val="0"/>
              <w:ind w:left="0" w:leftChars="0" w:right="0" w:rightChars="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参赛选手</w:t>
            </w:r>
          </w:p>
          <w:p>
            <w:pPr>
              <w:shd w:val="solid" w:color="FFFFFF" w:fill="auto"/>
              <w:autoSpaceDN w:val="0"/>
              <w:adjustRightInd w:val="0"/>
              <w:snapToGrid w:val="0"/>
              <w:ind w:left="0" w:leftChars="0" w:right="0" w:rightChars="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裁判</w:t>
            </w:r>
          </w:p>
        </w:tc>
        <w:tc>
          <w:tcPr>
            <w:tcW w:w="1331" w:type="dxa"/>
            <w:vAlign w:val="center"/>
          </w:tcPr>
          <w:p>
            <w:pPr>
              <w:shd w:val="solid" w:color="FFFFFF" w:fill="auto"/>
              <w:autoSpaceDN w:val="0"/>
              <w:adjustRightInd w:val="0"/>
              <w:snapToGrid w:val="0"/>
              <w:ind w:left="0" w:leftChars="0" w:right="0" w:rightChars="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竞赛场地</w:t>
            </w:r>
          </w:p>
        </w:tc>
        <w:tc>
          <w:tcPr>
            <w:tcW w:w="1234" w:type="dxa"/>
            <w:vAlign w:val="center"/>
          </w:tcPr>
          <w:p>
            <w:pPr>
              <w:shd w:val="solid" w:color="FFFFFF" w:fill="auto"/>
              <w:autoSpaceDN w:val="0"/>
              <w:adjustRightInd w:val="0"/>
              <w:snapToGrid w:val="0"/>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ind w:left="0" w:leftChars="0" w:right="0" w:rightChars="0"/>
              <w:jc w:val="center"/>
              <w:rPr>
                <w:rFonts w:hint="default" w:ascii="仿宋" w:hAnsi="仿宋" w:eastAsia="仿宋"/>
                <w:sz w:val="24"/>
                <w:szCs w:val="24"/>
                <w:shd w:val="clear" w:color="auto" w:fill="FFFFFF"/>
                <w:lang w:val="en-US" w:eastAsia="zh-CN"/>
              </w:rPr>
            </w:pPr>
            <w:r>
              <w:rPr>
                <w:rFonts w:hint="eastAsia" w:ascii="仿宋" w:hAnsi="仿宋" w:eastAsia="仿宋"/>
                <w:sz w:val="24"/>
                <w:szCs w:val="24"/>
                <w:shd w:val="clear" w:color="auto" w:fill="FFFFFF"/>
              </w:rPr>
              <w:t>12:10-1</w:t>
            </w:r>
            <w:r>
              <w:rPr>
                <w:rFonts w:hint="eastAsia" w:ascii="仿宋" w:hAnsi="仿宋" w:eastAsia="仿宋"/>
                <w:sz w:val="24"/>
                <w:szCs w:val="24"/>
                <w:shd w:val="clear" w:color="auto" w:fill="FFFFFF"/>
                <w:lang w:val="en-US" w:eastAsia="zh-CN"/>
              </w:rPr>
              <w:t>2</w:t>
            </w:r>
            <w:r>
              <w:rPr>
                <w:rFonts w:hint="eastAsia" w:ascii="仿宋" w:hAnsi="仿宋" w:eastAsia="仿宋"/>
                <w:sz w:val="24"/>
                <w:szCs w:val="24"/>
                <w:shd w:val="clear" w:color="auto" w:fill="FFFFFF"/>
              </w:rPr>
              <w:t>:</w:t>
            </w:r>
            <w:r>
              <w:rPr>
                <w:rFonts w:hint="eastAsia" w:ascii="仿宋" w:hAnsi="仿宋" w:eastAsia="仿宋"/>
                <w:sz w:val="24"/>
                <w:szCs w:val="24"/>
                <w:shd w:val="clear" w:color="auto" w:fill="FFFFFF"/>
                <w:lang w:val="en-US" w:eastAsia="zh-CN"/>
              </w:rPr>
              <w:t>50</w:t>
            </w:r>
          </w:p>
        </w:tc>
        <w:tc>
          <w:tcPr>
            <w:tcW w:w="1785" w:type="dxa"/>
            <w:vAlign w:val="center"/>
          </w:tcPr>
          <w:p>
            <w:pPr>
              <w:shd w:val="solid" w:color="FFFFFF" w:fill="auto"/>
              <w:autoSpaceDN w:val="0"/>
              <w:adjustRightInd w:val="0"/>
              <w:snapToGrid w:val="0"/>
              <w:ind w:left="0" w:leftChars="0" w:right="0" w:rightChars="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午餐</w:t>
            </w:r>
          </w:p>
        </w:tc>
        <w:tc>
          <w:tcPr>
            <w:tcW w:w="1485" w:type="dxa"/>
            <w:vAlign w:val="center"/>
          </w:tcPr>
          <w:p>
            <w:pPr>
              <w:shd w:val="solid" w:color="FFFFFF" w:fill="auto"/>
              <w:autoSpaceDN w:val="0"/>
              <w:adjustRightInd w:val="0"/>
              <w:snapToGrid w:val="0"/>
              <w:ind w:left="0" w:leftChars="0" w:right="0" w:rightChars="0"/>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参赛选手、裁判、</w:t>
            </w:r>
            <w:r>
              <w:rPr>
                <w:rFonts w:hint="eastAsia" w:ascii="仿宋" w:hAnsi="仿宋" w:eastAsia="仿宋"/>
                <w:sz w:val="24"/>
                <w:szCs w:val="24"/>
                <w:shd w:val="clear" w:color="auto" w:fill="FFFFFF"/>
                <w:lang w:eastAsia="zh-CN"/>
              </w:rPr>
              <w:t>指导教师、</w:t>
            </w:r>
            <w:r>
              <w:rPr>
                <w:rFonts w:hint="eastAsia" w:ascii="仿宋" w:hAnsi="仿宋" w:eastAsia="仿宋"/>
                <w:sz w:val="24"/>
                <w:szCs w:val="24"/>
                <w:shd w:val="clear" w:color="auto" w:fill="FFFFFF"/>
              </w:rPr>
              <w:t>工作人员</w:t>
            </w:r>
          </w:p>
        </w:tc>
        <w:tc>
          <w:tcPr>
            <w:tcW w:w="1331" w:type="dxa"/>
            <w:vAlign w:val="center"/>
          </w:tcPr>
          <w:p>
            <w:pPr>
              <w:shd w:val="solid" w:color="FFFFFF" w:fill="auto"/>
              <w:autoSpaceDN w:val="0"/>
              <w:adjustRightInd w:val="0"/>
              <w:snapToGrid w:val="0"/>
              <w:ind w:left="0" w:leftChars="0" w:right="0" w:rightChars="0"/>
              <w:jc w:val="center"/>
              <w:rPr>
                <w:rFonts w:hint="eastAsia" w:ascii="仿宋" w:hAnsi="仿宋" w:eastAsia="仿宋"/>
                <w:sz w:val="24"/>
                <w:szCs w:val="24"/>
                <w:shd w:val="clear" w:color="auto" w:fill="FFFFFF"/>
                <w:lang w:val="en-US" w:eastAsia="zh-CN"/>
              </w:rPr>
            </w:pPr>
            <w:r>
              <w:rPr>
                <w:rFonts w:hint="eastAsia" w:ascii="仿宋" w:hAnsi="仿宋" w:eastAsia="仿宋"/>
                <w:sz w:val="24"/>
                <w:szCs w:val="24"/>
                <w:shd w:val="clear" w:color="auto" w:fill="FFFFFF"/>
                <w:lang w:val="en-US" w:eastAsia="zh-CN"/>
              </w:rPr>
              <w:t>竞赛场地、</w:t>
            </w:r>
          </w:p>
          <w:p>
            <w:pPr>
              <w:shd w:val="solid" w:color="FFFFFF" w:fill="auto"/>
              <w:autoSpaceDN w:val="0"/>
              <w:adjustRightInd w:val="0"/>
              <w:snapToGrid w:val="0"/>
              <w:ind w:left="0" w:leftChars="0" w:right="0" w:rightChars="0"/>
              <w:jc w:val="center"/>
              <w:rPr>
                <w:rFonts w:hint="default" w:ascii="仿宋" w:hAnsi="仿宋" w:eastAsia="仿宋"/>
                <w:sz w:val="24"/>
                <w:szCs w:val="24"/>
                <w:shd w:val="clear" w:color="auto" w:fill="FFFFFF"/>
                <w:lang w:val="en-US" w:eastAsia="zh-CN"/>
              </w:rPr>
            </w:pPr>
            <w:r>
              <w:rPr>
                <w:rFonts w:hint="eastAsia" w:ascii="仿宋" w:hAnsi="仿宋" w:eastAsia="仿宋"/>
                <w:sz w:val="24"/>
                <w:szCs w:val="24"/>
                <w:shd w:val="clear" w:color="auto" w:fill="FFFFFF"/>
                <w:lang w:val="en-US" w:eastAsia="zh-CN"/>
              </w:rPr>
              <w:t>休息区</w:t>
            </w:r>
          </w:p>
        </w:tc>
        <w:tc>
          <w:tcPr>
            <w:tcW w:w="1234" w:type="dxa"/>
            <w:vAlign w:val="center"/>
          </w:tcPr>
          <w:p>
            <w:pPr>
              <w:shd w:val="solid" w:color="FFFFFF" w:fill="auto"/>
              <w:autoSpaceDN w:val="0"/>
              <w:adjustRightInd w:val="0"/>
              <w:snapToGrid w:val="0"/>
              <w:rPr>
                <w:rFonts w:hint="default" w:ascii="仿宋" w:hAnsi="仿宋" w:eastAsia="仿宋"/>
                <w:sz w:val="24"/>
                <w:szCs w:val="24"/>
                <w:shd w:val="clear" w:color="auto" w:fill="FFFFFF"/>
                <w:lang w:val="en-US" w:eastAsia="zh-CN"/>
              </w:rPr>
            </w:pPr>
            <w:r>
              <w:rPr>
                <w:rFonts w:hint="eastAsia" w:ascii="仿宋" w:hAnsi="仿宋" w:eastAsia="仿宋"/>
                <w:sz w:val="24"/>
                <w:szCs w:val="24"/>
                <w:shd w:val="clear" w:color="auto" w:fill="FFFFFF"/>
                <w:lang w:val="en-US" w:eastAsia="zh-CN"/>
              </w:rPr>
              <w:t>选手不离开比赛场地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13:00-13:40</w:t>
            </w:r>
          </w:p>
        </w:tc>
        <w:tc>
          <w:tcPr>
            <w:tcW w:w="17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外贸B2C模块（R1）</w:t>
            </w:r>
          </w:p>
        </w:tc>
        <w:tc>
          <w:tcPr>
            <w:tcW w:w="14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参赛选手</w:t>
            </w:r>
          </w:p>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裁判</w:t>
            </w:r>
          </w:p>
        </w:tc>
        <w:tc>
          <w:tcPr>
            <w:tcW w:w="1331"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竞赛场地</w:t>
            </w:r>
          </w:p>
        </w:tc>
        <w:tc>
          <w:tcPr>
            <w:tcW w:w="1234" w:type="dxa"/>
            <w:vAlign w:val="center"/>
          </w:tcPr>
          <w:p>
            <w:pPr>
              <w:shd w:val="solid" w:color="FFFFFF" w:fill="auto"/>
              <w:autoSpaceDN w:val="0"/>
              <w:adjustRightInd w:val="0"/>
              <w:snapToGrid w:val="0"/>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第一回合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13:40-14:20</w:t>
            </w:r>
          </w:p>
        </w:tc>
        <w:tc>
          <w:tcPr>
            <w:tcW w:w="17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外贸B2C模块（R2）</w:t>
            </w:r>
          </w:p>
        </w:tc>
        <w:tc>
          <w:tcPr>
            <w:tcW w:w="14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参赛选手</w:t>
            </w:r>
          </w:p>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裁判</w:t>
            </w:r>
          </w:p>
        </w:tc>
        <w:tc>
          <w:tcPr>
            <w:tcW w:w="1331"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竞赛场地</w:t>
            </w:r>
          </w:p>
        </w:tc>
        <w:tc>
          <w:tcPr>
            <w:tcW w:w="1234" w:type="dxa"/>
            <w:vAlign w:val="center"/>
          </w:tcPr>
          <w:p>
            <w:pPr>
              <w:shd w:val="solid" w:color="FFFFFF" w:fill="auto"/>
              <w:autoSpaceDN w:val="0"/>
              <w:adjustRightInd w:val="0"/>
              <w:snapToGrid w:val="0"/>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第二回合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14:20-15:00</w:t>
            </w:r>
          </w:p>
        </w:tc>
        <w:tc>
          <w:tcPr>
            <w:tcW w:w="17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外贸B2C模块（R3）</w:t>
            </w:r>
          </w:p>
        </w:tc>
        <w:tc>
          <w:tcPr>
            <w:tcW w:w="14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参赛选手</w:t>
            </w:r>
          </w:p>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裁判</w:t>
            </w:r>
          </w:p>
        </w:tc>
        <w:tc>
          <w:tcPr>
            <w:tcW w:w="1331"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竞赛场地</w:t>
            </w:r>
          </w:p>
        </w:tc>
        <w:tc>
          <w:tcPr>
            <w:tcW w:w="1234" w:type="dxa"/>
            <w:vAlign w:val="center"/>
          </w:tcPr>
          <w:p>
            <w:pPr>
              <w:shd w:val="solid" w:color="FFFFFF" w:fill="auto"/>
              <w:autoSpaceDN w:val="0"/>
              <w:adjustRightInd w:val="0"/>
              <w:snapToGrid w:val="0"/>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第三回合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15:00-15:40</w:t>
            </w:r>
          </w:p>
        </w:tc>
        <w:tc>
          <w:tcPr>
            <w:tcW w:w="17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外贸B2C模块（R4）</w:t>
            </w:r>
          </w:p>
        </w:tc>
        <w:tc>
          <w:tcPr>
            <w:tcW w:w="14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参赛选手</w:t>
            </w:r>
          </w:p>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裁判</w:t>
            </w:r>
          </w:p>
        </w:tc>
        <w:tc>
          <w:tcPr>
            <w:tcW w:w="1331"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竞赛场地</w:t>
            </w:r>
          </w:p>
        </w:tc>
        <w:tc>
          <w:tcPr>
            <w:tcW w:w="1234" w:type="dxa"/>
            <w:vAlign w:val="center"/>
          </w:tcPr>
          <w:p>
            <w:pPr>
              <w:shd w:val="solid" w:color="FFFFFF" w:fill="auto"/>
              <w:autoSpaceDN w:val="0"/>
              <w:adjustRightInd w:val="0"/>
              <w:snapToGrid w:val="0"/>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第四回合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15:40-16:20</w:t>
            </w:r>
          </w:p>
        </w:tc>
        <w:tc>
          <w:tcPr>
            <w:tcW w:w="17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外贸B2C模块（R5）</w:t>
            </w:r>
          </w:p>
        </w:tc>
        <w:tc>
          <w:tcPr>
            <w:tcW w:w="14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参赛选手</w:t>
            </w:r>
          </w:p>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裁判</w:t>
            </w:r>
          </w:p>
        </w:tc>
        <w:tc>
          <w:tcPr>
            <w:tcW w:w="1331"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竞赛场地</w:t>
            </w:r>
          </w:p>
        </w:tc>
        <w:tc>
          <w:tcPr>
            <w:tcW w:w="1234" w:type="dxa"/>
            <w:vAlign w:val="center"/>
          </w:tcPr>
          <w:p>
            <w:pPr>
              <w:shd w:val="solid" w:color="FFFFFF" w:fill="auto"/>
              <w:autoSpaceDN w:val="0"/>
              <w:adjustRightInd w:val="0"/>
              <w:snapToGrid w:val="0"/>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第五回合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16:20-17:00</w:t>
            </w:r>
          </w:p>
        </w:tc>
        <w:tc>
          <w:tcPr>
            <w:tcW w:w="17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外贸B2C模块（R6）</w:t>
            </w:r>
          </w:p>
        </w:tc>
        <w:tc>
          <w:tcPr>
            <w:tcW w:w="14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参赛选手</w:t>
            </w:r>
          </w:p>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裁判</w:t>
            </w:r>
          </w:p>
        </w:tc>
        <w:tc>
          <w:tcPr>
            <w:tcW w:w="1331"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竞赛场地</w:t>
            </w:r>
          </w:p>
        </w:tc>
        <w:tc>
          <w:tcPr>
            <w:tcW w:w="1234" w:type="dxa"/>
            <w:vAlign w:val="center"/>
          </w:tcPr>
          <w:p>
            <w:pPr>
              <w:shd w:val="solid" w:color="FFFFFF" w:fill="auto"/>
              <w:autoSpaceDN w:val="0"/>
              <w:adjustRightInd w:val="0"/>
              <w:snapToGrid w:val="0"/>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第六回合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17:00-17:40</w:t>
            </w:r>
          </w:p>
        </w:tc>
        <w:tc>
          <w:tcPr>
            <w:tcW w:w="17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外贸B2C模块（R7）</w:t>
            </w:r>
          </w:p>
        </w:tc>
        <w:tc>
          <w:tcPr>
            <w:tcW w:w="14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参赛选手</w:t>
            </w:r>
          </w:p>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裁判</w:t>
            </w:r>
          </w:p>
        </w:tc>
        <w:tc>
          <w:tcPr>
            <w:tcW w:w="1331"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竞赛场地</w:t>
            </w:r>
          </w:p>
        </w:tc>
        <w:tc>
          <w:tcPr>
            <w:tcW w:w="1234" w:type="dxa"/>
            <w:vAlign w:val="center"/>
          </w:tcPr>
          <w:p>
            <w:pPr>
              <w:shd w:val="solid" w:color="FFFFFF" w:fill="auto"/>
              <w:autoSpaceDN w:val="0"/>
              <w:adjustRightInd w:val="0"/>
              <w:snapToGrid w:val="0"/>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第七回合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17:40-18:00</w:t>
            </w:r>
          </w:p>
        </w:tc>
        <w:tc>
          <w:tcPr>
            <w:tcW w:w="17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外贸B2C模块（R8）</w:t>
            </w:r>
          </w:p>
        </w:tc>
        <w:tc>
          <w:tcPr>
            <w:tcW w:w="14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参赛选手</w:t>
            </w:r>
          </w:p>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现场裁判</w:t>
            </w:r>
          </w:p>
        </w:tc>
        <w:tc>
          <w:tcPr>
            <w:tcW w:w="1331"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竞赛场地</w:t>
            </w:r>
          </w:p>
        </w:tc>
        <w:tc>
          <w:tcPr>
            <w:tcW w:w="1234" w:type="dxa"/>
            <w:vAlign w:val="center"/>
          </w:tcPr>
          <w:p>
            <w:pPr>
              <w:shd w:val="solid" w:color="FFFFFF" w:fill="auto"/>
              <w:autoSpaceDN w:val="0"/>
              <w:adjustRightInd w:val="0"/>
              <w:snapToGrid w:val="0"/>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第八回合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18:00</w:t>
            </w:r>
            <w:r>
              <w:rPr>
                <w:rFonts w:hint="eastAsia" w:ascii="仿宋" w:hAnsi="仿宋" w:eastAsia="仿宋"/>
                <w:sz w:val="24"/>
                <w:szCs w:val="24"/>
                <w:shd w:val="clear" w:color="auto" w:fill="FFFFFF"/>
                <w:lang w:val="en-US" w:eastAsia="zh-CN"/>
              </w:rPr>
              <w:t>-</w:t>
            </w:r>
            <w:r>
              <w:rPr>
                <w:rFonts w:hint="eastAsia" w:ascii="仿宋" w:hAnsi="仿宋" w:eastAsia="仿宋"/>
                <w:sz w:val="24"/>
                <w:szCs w:val="24"/>
                <w:shd w:val="clear" w:color="auto" w:fill="FFFFFF"/>
              </w:rPr>
              <w:t>1</w:t>
            </w:r>
            <w:r>
              <w:rPr>
                <w:rFonts w:hint="eastAsia" w:ascii="仿宋" w:hAnsi="仿宋" w:eastAsia="仿宋"/>
                <w:sz w:val="24"/>
                <w:szCs w:val="24"/>
                <w:shd w:val="clear" w:color="auto" w:fill="FFFFFF"/>
                <w:lang w:val="en-US" w:eastAsia="zh-CN"/>
              </w:rPr>
              <w:t>8</w:t>
            </w:r>
            <w:r>
              <w:rPr>
                <w:rFonts w:hint="eastAsia" w:ascii="仿宋" w:hAnsi="仿宋" w:eastAsia="仿宋"/>
                <w:sz w:val="24"/>
                <w:szCs w:val="24"/>
                <w:shd w:val="clear" w:color="auto" w:fill="FFFFFF"/>
              </w:rPr>
              <w:t>:30</w:t>
            </w:r>
          </w:p>
        </w:tc>
        <w:tc>
          <w:tcPr>
            <w:tcW w:w="17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检查设备</w:t>
            </w:r>
          </w:p>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封闭赛场</w:t>
            </w:r>
          </w:p>
        </w:tc>
        <w:tc>
          <w:tcPr>
            <w:tcW w:w="14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裁判</w:t>
            </w:r>
          </w:p>
          <w:p>
            <w:pPr>
              <w:shd w:val="solid" w:color="FFFFFF" w:fill="auto"/>
              <w:autoSpaceDN w:val="0"/>
              <w:adjustRightInd w:val="0"/>
              <w:snapToGrid w:val="0"/>
              <w:jc w:val="center"/>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技术人员</w:t>
            </w:r>
          </w:p>
        </w:tc>
        <w:tc>
          <w:tcPr>
            <w:tcW w:w="1331" w:type="dxa"/>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rPr>
              <w:t>竞赛场地</w:t>
            </w:r>
          </w:p>
        </w:tc>
        <w:tc>
          <w:tcPr>
            <w:tcW w:w="1234" w:type="dxa"/>
            <w:vAlign w:val="center"/>
          </w:tcPr>
          <w:p>
            <w:pPr>
              <w:shd w:val="solid" w:color="FFFFFF" w:fill="auto"/>
              <w:autoSpaceDN w:val="0"/>
              <w:adjustRightInd w:val="0"/>
              <w:snapToGrid w:val="0"/>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hint="default" w:ascii="仿宋" w:hAnsi="仿宋" w:eastAsia="仿宋"/>
                <w:sz w:val="24"/>
                <w:szCs w:val="24"/>
                <w:shd w:val="clear" w:color="auto" w:fill="FFFFFF"/>
                <w:lang w:val="en-US" w:eastAsia="zh-CN"/>
              </w:rPr>
            </w:pPr>
            <w:r>
              <w:rPr>
                <w:rFonts w:hint="eastAsia" w:ascii="仿宋" w:hAnsi="仿宋" w:eastAsia="仿宋"/>
                <w:sz w:val="24"/>
                <w:szCs w:val="24"/>
                <w:shd w:val="clear" w:color="auto" w:fill="FFFFFF"/>
              </w:rPr>
              <w:t>1</w:t>
            </w:r>
            <w:r>
              <w:rPr>
                <w:rFonts w:hint="eastAsia" w:ascii="仿宋" w:hAnsi="仿宋" w:eastAsia="仿宋"/>
                <w:sz w:val="24"/>
                <w:szCs w:val="24"/>
                <w:shd w:val="clear" w:color="auto" w:fill="FFFFFF"/>
                <w:lang w:val="en-US" w:eastAsia="zh-CN"/>
              </w:rPr>
              <w:t>8</w:t>
            </w:r>
            <w:r>
              <w:rPr>
                <w:rFonts w:hint="eastAsia" w:ascii="仿宋" w:hAnsi="仿宋" w:eastAsia="仿宋"/>
                <w:sz w:val="24"/>
                <w:szCs w:val="24"/>
                <w:shd w:val="clear" w:color="auto" w:fill="FFFFFF"/>
              </w:rPr>
              <w:t>:30</w:t>
            </w:r>
            <w:r>
              <w:rPr>
                <w:rFonts w:hint="eastAsia" w:ascii="仿宋" w:hAnsi="仿宋" w:eastAsia="仿宋"/>
                <w:sz w:val="24"/>
                <w:szCs w:val="24"/>
                <w:shd w:val="clear" w:color="auto" w:fill="FFFFFF"/>
                <w:lang w:val="en-US" w:eastAsia="zh-CN"/>
              </w:rPr>
              <w:t>-19</w:t>
            </w:r>
            <w:r>
              <w:rPr>
                <w:rFonts w:hint="eastAsia" w:ascii="仿宋" w:hAnsi="仿宋" w:eastAsia="仿宋"/>
                <w:sz w:val="24"/>
                <w:szCs w:val="24"/>
                <w:shd w:val="clear" w:color="auto" w:fill="FFFFFF"/>
              </w:rPr>
              <w:t>:</w:t>
            </w:r>
            <w:r>
              <w:rPr>
                <w:rFonts w:hint="eastAsia" w:ascii="仿宋" w:hAnsi="仿宋" w:eastAsia="仿宋"/>
                <w:sz w:val="24"/>
                <w:szCs w:val="24"/>
                <w:shd w:val="clear" w:color="auto" w:fill="FFFFFF"/>
                <w:lang w:val="en-US" w:eastAsia="zh-CN"/>
              </w:rPr>
              <w:t>30</w:t>
            </w:r>
          </w:p>
        </w:tc>
        <w:tc>
          <w:tcPr>
            <w:tcW w:w="1785" w:type="dxa"/>
            <w:vAlign w:val="center"/>
          </w:tcPr>
          <w:p>
            <w:pPr>
              <w:shd w:val="solid" w:color="FFFFFF" w:fill="auto"/>
              <w:autoSpaceDN w:val="0"/>
              <w:adjustRightInd w:val="0"/>
              <w:snapToGrid w:val="0"/>
              <w:jc w:val="center"/>
              <w:rPr>
                <w:rFonts w:hint="eastAsia" w:ascii="仿宋" w:hAnsi="仿宋" w:eastAsia="仿宋"/>
                <w:sz w:val="24"/>
                <w:szCs w:val="24"/>
                <w:shd w:val="clear" w:color="auto" w:fill="FFFFFF"/>
                <w:lang w:val="en-US" w:eastAsia="zh-CN"/>
              </w:rPr>
            </w:pPr>
            <w:r>
              <w:rPr>
                <w:rFonts w:hint="eastAsia" w:ascii="仿宋" w:hAnsi="仿宋" w:eastAsia="仿宋"/>
                <w:sz w:val="24"/>
                <w:szCs w:val="24"/>
                <w:shd w:val="clear" w:color="auto" w:fill="FFFFFF"/>
                <w:lang w:val="en-US" w:eastAsia="zh-CN"/>
              </w:rPr>
              <w:t>晚餐</w:t>
            </w:r>
          </w:p>
        </w:tc>
        <w:tc>
          <w:tcPr>
            <w:tcW w:w="1485" w:type="dxa"/>
            <w:vAlign w:val="top"/>
          </w:tcPr>
          <w:p>
            <w:pPr>
              <w:shd w:val="solid" w:color="FFFFFF" w:fill="auto"/>
              <w:autoSpaceDN w:val="0"/>
              <w:adjustRightInd w:val="0"/>
              <w:snapToGrid w:val="0"/>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参赛选手、裁判、</w:t>
            </w:r>
            <w:r>
              <w:rPr>
                <w:rFonts w:hint="eastAsia" w:ascii="仿宋" w:hAnsi="仿宋" w:eastAsia="仿宋"/>
                <w:sz w:val="24"/>
                <w:szCs w:val="24"/>
                <w:shd w:val="clear" w:color="auto" w:fill="FFFFFF"/>
                <w:lang w:val="en-US" w:eastAsia="zh-CN"/>
              </w:rPr>
              <w:t>指导教师、</w:t>
            </w:r>
            <w:r>
              <w:rPr>
                <w:rFonts w:hint="eastAsia" w:ascii="仿宋" w:hAnsi="仿宋" w:eastAsia="仿宋"/>
                <w:sz w:val="24"/>
                <w:szCs w:val="24"/>
                <w:shd w:val="clear" w:color="auto" w:fill="FFFFFF"/>
              </w:rPr>
              <w:t>工作人员</w:t>
            </w:r>
          </w:p>
        </w:tc>
        <w:tc>
          <w:tcPr>
            <w:tcW w:w="1331" w:type="dxa"/>
            <w:vAlign w:val="center"/>
          </w:tcPr>
          <w:p>
            <w:pPr>
              <w:shd w:val="solid" w:color="FFFFFF" w:fill="auto"/>
              <w:autoSpaceDN w:val="0"/>
              <w:adjustRightInd w:val="0"/>
              <w:snapToGrid w:val="0"/>
              <w:jc w:val="center"/>
              <w:rPr>
                <w:rFonts w:hint="default" w:ascii="仿宋" w:hAnsi="仿宋" w:eastAsia="仿宋"/>
                <w:sz w:val="24"/>
                <w:szCs w:val="24"/>
                <w:shd w:val="clear" w:color="auto" w:fill="FFFFFF"/>
                <w:lang w:val="en-US" w:eastAsia="zh-CN"/>
              </w:rPr>
            </w:pPr>
            <w:r>
              <w:rPr>
                <w:rFonts w:hint="eastAsia" w:ascii="仿宋" w:hAnsi="仿宋" w:eastAsia="仿宋"/>
                <w:sz w:val="24"/>
                <w:szCs w:val="24"/>
                <w:shd w:val="clear" w:color="auto" w:fill="FFFFFF"/>
                <w:lang w:val="en-US" w:eastAsia="zh-CN"/>
              </w:rPr>
              <w:t>学校食堂</w:t>
            </w:r>
          </w:p>
        </w:tc>
        <w:tc>
          <w:tcPr>
            <w:tcW w:w="1234" w:type="dxa"/>
            <w:vAlign w:val="center"/>
          </w:tcPr>
          <w:p>
            <w:pPr>
              <w:shd w:val="solid" w:color="FFFFFF" w:fill="auto"/>
              <w:autoSpaceDN w:val="0"/>
              <w:adjustRightInd w:val="0"/>
              <w:snapToGrid w:val="0"/>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hint="default" w:ascii="仿宋" w:hAnsi="仿宋" w:eastAsia="仿宋"/>
                <w:sz w:val="24"/>
                <w:szCs w:val="24"/>
                <w:shd w:val="clear" w:color="auto" w:fill="FFFFFF"/>
                <w:lang w:val="en-US" w:eastAsia="zh-CN"/>
              </w:rPr>
            </w:pPr>
            <w:r>
              <w:rPr>
                <w:rFonts w:hint="eastAsia" w:ascii="仿宋" w:hAnsi="仿宋" w:eastAsia="仿宋"/>
                <w:sz w:val="24"/>
                <w:szCs w:val="24"/>
                <w:shd w:val="clear" w:color="auto" w:fill="FFFFFF"/>
                <w:lang w:val="en-US" w:eastAsia="zh-CN"/>
              </w:rPr>
              <w:t>20</w:t>
            </w:r>
            <w:r>
              <w:rPr>
                <w:rFonts w:hint="eastAsia" w:ascii="仿宋" w:hAnsi="仿宋" w:eastAsia="仿宋"/>
                <w:sz w:val="24"/>
                <w:szCs w:val="24"/>
                <w:shd w:val="clear" w:color="auto" w:fill="FFFFFF"/>
              </w:rPr>
              <w:t>:</w:t>
            </w:r>
            <w:r>
              <w:rPr>
                <w:rFonts w:hint="eastAsia" w:ascii="仿宋" w:hAnsi="仿宋" w:eastAsia="仿宋"/>
                <w:sz w:val="24"/>
                <w:szCs w:val="24"/>
                <w:shd w:val="clear" w:color="auto" w:fill="FFFFFF"/>
                <w:lang w:val="en-US" w:eastAsia="zh-CN"/>
              </w:rPr>
              <w:t>00-20</w:t>
            </w:r>
            <w:r>
              <w:rPr>
                <w:rFonts w:hint="eastAsia" w:ascii="仿宋" w:hAnsi="仿宋" w:eastAsia="仿宋"/>
                <w:sz w:val="24"/>
                <w:szCs w:val="24"/>
                <w:shd w:val="clear" w:color="auto" w:fill="FFFFFF"/>
              </w:rPr>
              <w:t>:</w:t>
            </w:r>
            <w:r>
              <w:rPr>
                <w:rFonts w:hint="eastAsia" w:ascii="仿宋" w:hAnsi="仿宋" w:eastAsia="仿宋"/>
                <w:sz w:val="24"/>
                <w:szCs w:val="24"/>
                <w:shd w:val="clear" w:color="auto" w:fill="FFFFFF"/>
                <w:lang w:val="en-US" w:eastAsia="zh-CN"/>
              </w:rPr>
              <w:t>30</w:t>
            </w:r>
          </w:p>
        </w:tc>
        <w:tc>
          <w:tcPr>
            <w:tcW w:w="1785" w:type="dxa"/>
            <w:vAlign w:val="center"/>
          </w:tcPr>
          <w:p>
            <w:pPr>
              <w:shd w:val="solid" w:color="FFFFFF" w:fill="auto"/>
              <w:autoSpaceDN w:val="0"/>
              <w:adjustRightInd w:val="0"/>
              <w:snapToGrid w:val="0"/>
              <w:jc w:val="center"/>
              <w:rPr>
                <w:rFonts w:hint="default" w:ascii="仿宋" w:hAnsi="仿宋" w:eastAsia="仿宋"/>
                <w:sz w:val="24"/>
                <w:szCs w:val="24"/>
                <w:shd w:val="clear" w:color="auto" w:fill="FFFFFF"/>
                <w:lang w:val="en-US" w:eastAsia="zh-CN"/>
              </w:rPr>
            </w:pPr>
            <w:r>
              <w:rPr>
                <w:rFonts w:hint="eastAsia" w:ascii="仿宋" w:hAnsi="仿宋" w:eastAsia="仿宋"/>
                <w:sz w:val="24"/>
                <w:szCs w:val="24"/>
                <w:shd w:val="clear" w:color="auto" w:fill="FFFFFF"/>
                <w:lang w:val="en-US" w:eastAsia="zh-CN"/>
              </w:rPr>
              <w:t>公布成绩</w:t>
            </w:r>
          </w:p>
        </w:tc>
        <w:tc>
          <w:tcPr>
            <w:tcW w:w="1485" w:type="dxa"/>
            <w:vAlign w:val="center"/>
          </w:tcPr>
          <w:p>
            <w:pPr>
              <w:shd w:val="solid" w:color="FFFFFF" w:fill="auto"/>
              <w:autoSpaceDN w:val="0"/>
              <w:adjustRightInd w:val="0"/>
              <w:snapToGrid w:val="0"/>
              <w:ind w:left="0" w:leftChars="0" w:right="0" w:rightChars="0"/>
              <w:rPr>
                <w:rFonts w:hint="eastAsia" w:ascii="仿宋" w:hAnsi="仿宋" w:eastAsia="仿宋"/>
                <w:sz w:val="24"/>
                <w:szCs w:val="24"/>
                <w:shd w:val="clear" w:color="auto" w:fill="FFFFFF"/>
              </w:rPr>
            </w:pPr>
            <w:r>
              <w:rPr>
                <w:rFonts w:hint="eastAsia" w:ascii="仿宋" w:hAnsi="仿宋" w:eastAsia="仿宋"/>
                <w:sz w:val="24"/>
                <w:szCs w:val="24"/>
                <w:shd w:val="clear" w:color="auto" w:fill="FFFFFF"/>
              </w:rPr>
              <w:t>裁判、各参赛队领队</w:t>
            </w:r>
          </w:p>
        </w:tc>
        <w:tc>
          <w:tcPr>
            <w:tcW w:w="1331" w:type="dxa"/>
            <w:vAlign w:val="center"/>
          </w:tcPr>
          <w:p>
            <w:pPr>
              <w:shd w:val="solid" w:color="FFFFFF" w:fill="auto"/>
              <w:autoSpaceDN w:val="0"/>
              <w:adjustRightInd w:val="0"/>
              <w:snapToGrid w:val="0"/>
              <w:ind w:left="0" w:leftChars="0" w:right="0" w:rightChars="0"/>
              <w:jc w:val="center"/>
              <w:rPr>
                <w:rFonts w:hint="eastAsia" w:ascii="仿宋" w:hAnsi="仿宋" w:eastAsia="仿宋"/>
                <w:sz w:val="24"/>
                <w:szCs w:val="24"/>
                <w:shd w:val="clear" w:color="auto" w:fill="FFFFFF"/>
                <w:lang w:val="en-US" w:eastAsia="zh-CN"/>
              </w:rPr>
            </w:pPr>
            <w:r>
              <w:rPr>
                <w:rFonts w:hint="eastAsia" w:ascii="仿宋" w:hAnsi="仿宋" w:eastAsia="仿宋"/>
                <w:sz w:val="24"/>
                <w:szCs w:val="24"/>
                <w:shd w:val="clear" w:color="auto" w:fill="FFFFFF"/>
              </w:rPr>
              <w:t>竞赛场地</w:t>
            </w:r>
          </w:p>
        </w:tc>
        <w:tc>
          <w:tcPr>
            <w:tcW w:w="1234" w:type="dxa"/>
            <w:vAlign w:val="center"/>
          </w:tcPr>
          <w:p>
            <w:pPr>
              <w:shd w:val="solid" w:color="FFFFFF" w:fill="auto"/>
              <w:autoSpaceDN w:val="0"/>
              <w:adjustRightInd w:val="0"/>
              <w:snapToGrid w:val="0"/>
              <w:rPr>
                <w:rFonts w:ascii="仿宋" w:hAnsi="仿宋" w:eastAsia="仿宋"/>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90" w:type="dxa"/>
            <w:vMerge w:val="continue"/>
            <w:vAlign w:val="center"/>
          </w:tcPr>
          <w:p>
            <w:pPr>
              <w:adjustRightInd w:val="0"/>
              <w:snapToGrid w:val="0"/>
              <w:jc w:val="center"/>
              <w:rPr>
                <w:rFonts w:ascii="仿宋" w:hAnsi="仿宋" w:eastAsia="仿宋"/>
                <w:sz w:val="24"/>
                <w:szCs w:val="24"/>
              </w:rPr>
            </w:pPr>
          </w:p>
        </w:tc>
        <w:tc>
          <w:tcPr>
            <w:tcW w:w="1740" w:type="dxa"/>
            <w:vAlign w:val="center"/>
          </w:tcPr>
          <w:p>
            <w:pPr>
              <w:shd w:val="solid" w:color="FFFFFF" w:fill="auto"/>
              <w:autoSpaceDN w:val="0"/>
              <w:adjustRightInd w:val="0"/>
              <w:snapToGrid w:val="0"/>
              <w:jc w:val="center"/>
              <w:rPr>
                <w:rFonts w:ascii="仿宋" w:hAnsi="仿宋" w:eastAsia="仿宋"/>
                <w:sz w:val="24"/>
                <w:szCs w:val="24"/>
                <w:shd w:val="clear" w:color="auto" w:fill="FFFFFF"/>
              </w:rPr>
            </w:pPr>
            <w:r>
              <w:rPr>
                <w:rFonts w:hint="eastAsia" w:ascii="仿宋" w:hAnsi="仿宋" w:eastAsia="仿宋"/>
                <w:sz w:val="24"/>
                <w:szCs w:val="24"/>
                <w:shd w:val="clear" w:color="auto" w:fill="FFFFFF"/>
                <w:lang w:val="en-US" w:eastAsia="zh-CN"/>
              </w:rPr>
              <w:t>20</w:t>
            </w:r>
            <w:r>
              <w:rPr>
                <w:rFonts w:hint="eastAsia" w:ascii="仿宋" w:hAnsi="仿宋" w:eastAsia="仿宋"/>
                <w:sz w:val="24"/>
                <w:szCs w:val="24"/>
                <w:shd w:val="clear" w:color="auto" w:fill="FFFFFF"/>
              </w:rPr>
              <w:t>:</w:t>
            </w:r>
            <w:r>
              <w:rPr>
                <w:rFonts w:hint="eastAsia" w:ascii="仿宋" w:hAnsi="仿宋" w:eastAsia="仿宋"/>
                <w:sz w:val="24"/>
                <w:szCs w:val="24"/>
                <w:shd w:val="clear" w:color="auto" w:fill="FFFFFF"/>
                <w:lang w:val="en-US" w:eastAsia="zh-CN"/>
              </w:rPr>
              <w:t>3</w:t>
            </w:r>
            <w:r>
              <w:rPr>
                <w:rFonts w:hint="eastAsia" w:ascii="仿宋" w:hAnsi="仿宋" w:eastAsia="仿宋"/>
                <w:sz w:val="24"/>
                <w:szCs w:val="24"/>
                <w:shd w:val="clear" w:color="auto" w:fill="FFFFFF"/>
              </w:rPr>
              <w:t>0</w:t>
            </w:r>
          </w:p>
        </w:tc>
        <w:tc>
          <w:tcPr>
            <w:tcW w:w="1785" w:type="dxa"/>
            <w:vAlign w:val="center"/>
          </w:tcPr>
          <w:p>
            <w:pPr>
              <w:shd w:val="solid" w:color="FFFFFF" w:fill="auto"/>
              <w:autoSpaceDN w:val="0"/>
              <w:adjustRightInd w:val="0"/>
              <w:snapToGrid w:val="0"/>
              <w:jc w:val="center"/>
              <w:rPr>
                <w:rFonts w:hint="default" w:ascii="仿宋" w:hAnsi="仿宋" w:eastAsia="仿宋"/>
                <w:sz w:val="24"/>
                <w:szCs w:val="24"/>
                <w:shd w:val="clear" w:color="auto" w:fill="FFFFFF"/>
                <w:lang w:val="en-US" w:eastAsia="zh-CN"/>
              </w:rPr>
            </w:pPr>
            <w:r>
              <w:rPr>
                <w:rFonts w:hint="eastAsia" w:ascii="仿宋" w:hAnsi="仿宋" w:eastAsia="仿宋" w:cs="Arial"/>
                <w:kern w:val="0"/>
                <w:sz w:val="24"/>
                <w:szCs w:val="24"/>
              </w:rPr>
              <w:t>参赛队返程</w:t>
            </w:r>
          </w:p>
        </w:tc>
        <w:tc>
          <w:tcPr>
            <w:tcW w:w="1485" w:type="dxa"/>
            <w:vAlign w:val="center"/>
          </w:tcPr>
          <w:p>
            <w:pPr>
              <w:shd w:val="solid" w:color="FFFFFF" w:fill="auto"/>
              <w:autoSpaceDN w:val="0"/>
              <w:adjustRightInd w:val="0"/>
              <w:snapToGrid w:val="0"/>
              <w:rPr>
                <w:rFonts w:ascii="仿宋" w:hAnsi="仿宋" w:eastAsia="仿宋"/>
                <w:sz w:val="24"/>
                <w:szCs w:val="24"/>
                <w:shd w:val="clear" w:color="auto" w:fill="FFFFFF"/>
              </w:rPr>
            </w:pPr>
          </w:p>
        </w:tc>
        <w:tc>
          <w:tcPr>
            <w:tcW w:w="1331" w:type="dxa"/>
            <w:vAlign w:val="center"/>
          </w:tcPr>
          <w:p>
            <w:pPr>
              <w:shd w:val="solid" w:color="FFFFFF" w:fill="auto"/>
              <w:autoSpaceDN w:val="0"/>
              <w:adjustRightInd w:val="0"/>
              <w:snapToGrid w:val="0"/>
              <w:jc w:val="center"/>
              <w:rPr>
                <w:rFonts w:ascii="仿宋" w:hAnsi="仿宋" w:eastAsia="仿宋"/>
                <w:sz w:val="24"/>
                <w:szCs w:val="24"/>
                <w:shd w:val="clear" w:color="auto" w:fill="FFFFFF"/>
              </w:rPr>
            </w:pPr>
          </w:p>
        </w:tc>
        <w:tc>
          <w:tcPr>
            <w:tcW w:w="1234" w:type="dxa"/>
            <w:vAlign w:val="center"/>
          </w:tcPr>
          <w:p>
            <w:pPr>
              <w:shd w:val="solid" w:color="FFFFFF" w:fill="auto"/>
              <w:autoSpaceDN w:val="0"/>
              <w:adjustRightInd w:val="0"/>
              <w:snapToGrid w:val="0"/>
              <w:rPr>
                <w:rFonts w:ascii="仿宋" w:hAnsi="仿宋" w:eastAsia="仿宋"/>
                <w:sz w:val="24"/>
                <w:szCs w:val="24"/>
                <w:shd w:val="clear" w:color="auto" w:fill="FFFFFF"/>
              </w:rPr>
            </w:pPr>
          </w:p>
        </w:tc>
      </w:tr>
    </w:tbl>
    <w:p>
      <w:pPr>
        <w:spacing w:line="560" w:lineRule="exact"/>
        <w:jc w:val="both"/>
        <w:rPr>
          <w:rFonts w:hint="eastAsia" w:ascii="仿宋" w:hAnsi="仿宋" w:eastAsia="仿宋" w:cs="宋体"/>
          <w:sz w:val="24"/>
          <w:szCs w:val="30"/>
        </w:rPr>
      </w:pPr>
    </w:p>
    <w:p>
      <w:pPr>
        <w:outlineLvl w:val="0"/>
        <w:rPr>
          <w:rFonts w:ascii="仿宋" w:hAnsi="仿宋" w:eastAsia="仿宋" w:cs="宋体"/>
          <w:b/>
          <w:sz w:val="28"/>
          <w:szCs w:val="28"/>
        </w:rPr>
      </w:pPr>
      <w:bookmarkStart w:id="5" w:name="_Toc61004416"/>
      <w:r>
        <w:rPr>
          <w:rFonts w:hint="eastAsia" w:ascii="仿宋" w:hAnsi="仿宋" w:eastAsia="仿宋" w:cs="宋体"/>
          <w:b/>
          <w:sz w:val="28"/>
          <w:szCs w:val="28"/>
        </w:rPr>
        <w:t>六、竞赛规则</w:t>
      </w:r>
      <w:bookmarkEnd w:id="5"/>
    </w:p>
    <w:p>
      <w:pPr>
        <w:spacing w:line="360" w:lineRule="auto"/>
        <w:ind w:firstLine="560" w:firstLineChars="200"/>
        <w:rPr>
          <w:rFonts w:ascii="仿宋" w:hAnsi="仿宋" w:eastAsia="仿宋"/>
          <w:sz w:val="28"/>
          <w:szCs w:val="28"/>
        </w:rPr>
      </w:pPr>
      <w:r>
        <w:rPr>
          <w:rFonts w:hint="eastAsia" w:ascii="仿宋" w:hAnsi="仿宋" w:eastAsia="仿宋"/>
          <w:sz w:val="28"/>
          <w:szCs w:val="28"/>
        </w:rPr>
        <w:t>（一）报名资格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参赛选手须为高等职业院校全日制在籍学生；本科院校中高职类全日制在籍学生可报名参加高职组比赛。五年制高职学生报名参赛的，四、五年级学生参加高职组比赛。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（二）报名要求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参赛选手和指导教师报名获得确认后不得随意更换。如备赛过程中参赛选手和指导教师因故无法参赛，须由学校行政部门于开赛5个工作日之前出具书面说明，经竞赛组委会办公室核实后予以更换。竞赛开始后，参赛队不得更换参赛队员，允许队员缺席比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（三）赛前准备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1.领队会议：</w:t>
      </w:r>
      <w:r>
        <w:rPr>
          <w:rFonts w:hint="eastAsia" w:ascii="仿宋" w:hAnsi="仿宋" w:eastAsia="仿宋"/>
          <w:color w:val="auto"/>
          <w:sz w:val="28"/>
          <w:szCs w:val="28"/>
        </w:rPr>
        <w:t>比赛日前一天下午</w:t>
      </w:r>
      <w:r>
        <w:rPr>
          <w:rFonts w:hint="eastAsia" w:ascii="仿宋" w:hAnsi="仿宋" w:eastAsia="仿宋"/>
          <w:sz w:val="28"/>
          <w:szCs w:val="28"/>
        </w:rPr>
        <w:t>召开领队会议，由各参赛队伍的领队和指导教师参加，会议讲解竞赛注意事项并进行赛前答疑。</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2.熟悉场地：</w:t>
      </w:r>
      <w:r>
        <w:rPr>
          <w:rFonts w:hint="eastAsia" w:ascii="仿宋" w:hAnsi="仿宋" w:eastAsia="仿宋"/>
          <w:color w:val="auto"/>
          <w:sz w:val="28"/>
          <w:szCs w:val="28"/>
        </w:rPr>
        <w:t>比赛日前一天下午</w:t>
      </w:r>
      <w:r>
        <w:rPr>
          <w:rFonts w:hint="eastAsia" w:ascii="仿宋" w:hAnsi="仿宋" w:eastAsia="仿宋"/>
          <w:sz w:val="28"/>
          <w:szCs w:val="28"/>
        </w:rPr>
        <w:t>开放赛场，熟悉场地。</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3.抽签仪式：比赛前一小时内举行抽签仪式，由各参赛队自行确定一名选手抽签，通过抽签确定各参赛队伍的赛场座次。</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4．参赛队员入场：参赛选手应提前15分钟到达赛场，凭参赛证、身份证</w:t>
      </w:r>
      <w:r>
        <w:rPr>
          <w:rFonts w:hint="eastAsia" w:ascii="仿宋" w:hAnsi="仿宋" w:eastAsia="仿宋"/>
          <w:sz w:val="28"/>
          <w:szCs w:val="28"/>
          <w:lang w:eastAsia="zh-CN"/>
        </w:rPr>
        <w:t>、</w:t>
      </w:r>
      <w:r>
        <w:rPr>
          <w:rFonts w:hint="eastAsia" w:ascii="仿宋" w:hAnsi="仿宋" w:eastAsia="仿宋"/>
          <w:sz w:val="28"/>
          <w:szCs w:val="28"/>
          <w:lang w:val="en-US" w:eastAsia="zh-CN"/>
        </w:rPr>
        <w:t>学生证</w:t>
      </w:r>
      <w:r>
        <w:rPr>
          <w:rFonts w:hint="eastAsia" w:ascii="仿宋" w:hAnsi="仿宋" w:eastAsia="仿宋"/>
          <w:sz w:val="28"/>
          <w:szCs w:val="28"/>
        </w:rPr>
        <w:t>检录，经体温检测后，按要求入场，不得迟到早退。现场裁判负责核对参赛队员信息；严禁参赛选手携带任何电子设备、通讯设备及其他相关资料与用品入场。整个竞赛过程中，请全程佩戴口罩。</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（四）比赛期间</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1.各参赛队伍打开电脑，根据对应的账号密码进入竞赛平台，由裁判长宣布比赛开始，各参赛队伍开始竞赛。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竞赛过程中，如有疑问，参赛选手应持“咨询”示意牌示意，项目裁判长应按照有关要求及时予以答疑。如遇设备或软件等故障，参赛选手应持“故障”示意牌示意。项目裁判长、技术人员等应及时予以解决。确因计算机软件或硬件故障，致使操作无法继续的，经项目裁判长确认，予以启用备用计算机。如遇身体不适，参赛选手应持“医务”示意牌示意，现场医务人员按应急预案救治。</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3.竞赛过程中不得在任何地方出现与参赛者身份信息相关的内容，一经发现，以作弊论处，取消比赛成绩并通报。</w:t>
      </w:r>
    </w:p>
    <w:p>
      <w:pPr>
        <w:spacing w:line="36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w:t>
      </w:r>
      <w:r>
        <w:rPr>
          <w:rFonts w:hint="eastAsia" w:ascii="仿宋" w:hAnsi="仿宋" w:eastAsia="仿宋"/>
          <w:color w:val="auto"/>
          <w:sz w:val="28"/>
          <w:szCs w:val="28"/>
          <w:lang w:val="en-US" w:eastAsia="zh-CN"/>
        </w:rPr>
        <w:t>为展现大学生良好风采，</w:t>
      </w:r>
      <w:r>
        <w:rPr>
          <w:rFonts w:hint="eastAsia" w:ascii="仿宋" w:hAnsi="仿宋" w:eastAsia="仿宋"/>
          <w:color w:val="auto"/>
          <w:sz w:val="28"/>
          <w:szCs w:val="28"/>
        </w:rPr>
        <w:t>竞赛过程中</w:t>
      </w:r>
      <w:r>
        <w:rPr>
          <w:rFonts w:hint="eastAsia" w:ascii="仿宋" w:hAnsi="仿宋" w:eastAsia="仿宋"/>
          <w:color w:val="auto"/>
          <w:sz w:val="28"/>
          <w:szCs w:val="28"/>
          <w:lang w:val="en-US" w:eastAsia="zh-CN"/>
        </w:rPr>
        <w:t>请文明比赛用语，</w:t>
      </w:r>
      <w:r>
        <w:rPr>
          <w:rFonts w:hint="eastAsia" w:ascii="仿宋" w:hAnsi="仿宋" w:eastAsia="仿宋"/>
          <w:color w:val="auto"/>
          <w:sz w:val="28"/>
          <w:szCs w:val="28"/>
        </w:rPr>
        <w:t>不得在</w:t>
      </w:r>
      <w:r>
        <w:rPr>
          <w:rFonts w:hint="eastAsia" w:ascii="仿宋" w:hAnsi="仿宋" w:eastAsia="仿宋"/>
          <w:color w:val="auto"/>
          <w:sz w:val="28"/>
          <w:szCs w:val="28"/>
          <w:lang w:val="en-US" w:eastAsia="zh-CN"/>
        </w:rPr>
        <w:t>B2B竞赛环节中出现</w:t>
      </w:r>
      <w:r>
        <w:rPr>
          <w:rFonts w:hint="eastAsia" w:ascii="仿宋" w:hAnsi="仿宋" w:eastAsia="仿宋"/>
          <w:color w:val="auto"/>
          <w:sz w:val="28"/>
          <w:szCs w:val="28"/>
        </w:rPr>
        <w:t>任何</w:t>
      </w:r>
      <w:r>
        <w:rPr>
          <w:rFonts w:hint="eastAsia" w:ascii="仿宋" w:hAnsi="仿宋" w:eastAsia="仿宋"/>
          <w:color w:val="auto"/>
          <w:sz w:val="28"/>
          <w:szCs w:val="28"/>
          <w:lang w:val="en-US" w:eastAsia="zh-CN"/>
        </w:rPr>
        <w:t>带辱骂性的语言，一经查证，</w:t>
      </w:r>
      <w:r>
        <w:rPr>
          <w:rFonts w:hint="eastAsia" w:ascii="仿宋" w:hAnsi="仿宋" w:eastAsia="仿宋"/>
          <w:color w:val="auto"/>
          <w:sz w:val="28"/>
          <w:szCs w:val="28"/>
        </w:rPr>
        <w:t>取消比赛成绩并通报。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（五）成绩公布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1.竞赛结束后，经公示程序后，裁判公布竞赛结果，并将成绩登录在竞赛成绩单上。</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2.必要的裁判等相关人员签字后，裁判长签字。赛场裁判将数据进行备份和保存，成绩单提交给竞赛组委会备案。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3．参赛代表队若对赛事有异议，可由领队按规程提出书面申诉。</w:t>
      </w:r>
    </w:p>
    <w:p>
      <w:pPr>
        <w:outlineLvl w:val="0"/>
        <w:rPr>
          <w:rFonts w:ascii="仿宋" w:hAnsi="仿宋" w:eastAsia="仿宋" w:cs="宋体"/>
          <w:b/>
          <w:sz w:val="28"/>
          <w:szCs w:val="28"/>
        </w:rPr>
      </w:pPr>
      <w:bookmarkStart w:id="6" w:name="_Toc61004417"/>
      <w:r>
        <w:rPr>
          <w:rFonts w:hint="eastAsia" w:ascii="仿宋" w:hAnsi="仿宋" w:eastAsia="仿宋" w:cs="宋体"/>
          <w:b/>
          <w:sz w:val="28"/>
          <w:szCs w:val="28"/>
        </w:rPr>
        <w:t>七、竞赛环境</w:t>
      </w:r>
      <w:bookmarkEnd w:id="6"/>
    </w:p>
    <w:p>
      <w:pPr>
        <w:spacing w:line="360" w:lineRule="auto"/>
        <w:ind w:firstLine="560" w:firstLineChars="200"/>
        <w:rPr>
          <w:rFonts w:ascii="仿宋" w:hAnsi="仿宋" w:eastAsia="仿宋"/>
          <w:sz w:val="28"/>
          <w:szCs w:val="28"/>
        </w:rPr>
      </w:pPr>
      <w:r>
        <w:rPr>
          <w:rFonts w:hint="eastAsia" w:ascii="仿宋" w:hAnsi="仿宋" w:eastAsia="仿宋"/>
          <w:sz w:val="28"/>
          <w:szCs w:val="30"/>
        </w:rPr>
        <w:t>（一）</w:t>
      </w:r>
      <w:r>
        <w:rPr>
          <w:rFonts w:hint="eastAsia" w:ascii="仿宋" w:hAnsi="仿宋" w:eastAsia="仿宋" w:cs="Arial"/>
          <w:sz w:val="28"/>
          <w:szCs w:val="28"/>
        </w:rPr>
        <w:t>外贸B2B模块、外贸B2C模块</w:t>
      </w:r>
      <w:r>
        <w:rPr>
          <w:rFonts w:hint="eastAsia" w:ascii="仿宋" w:hAnsi="仿宋" w:eastAsia="仿宋"/>
          <w:sz w:val="28"/>
          <w:szCs w:val="28"/>
        </w:rPr>
        <w:t>竞赛场地设在体育馆或电脑机房，场地内设置满足参赛团队数量的竞赛环境，分隔成A、B两个区域，每个区域内设置相应数量的赛位。一个参赛队的每个小组的两名选手一个机位，每个机位两台电脑，其中一台电脑备用，桌椅备足。</w:t>
      </w:r>
    </w:p>
    <w:p>
      <w:pPr>
        <w:spacing w:line="360" w:lineRule="auto"/>
        <w:ind w:firstLine="560" w:firstLineChars="200"/>
        <w:rPr>
          <w:rFonts w:ascii="仿宋" w:hAnsi="仿宋" w:eastAsia="仿宋" w:cs="宋体"/>
          <w:sz w:val="28"/>
          <w:szCs w:val="30"/>
        </w:rPr>
      </w:pPr>
      <w:r>
        <w:rPr>
          <w:rFonts w:hint="eastAsia" w:ascii="仿宋" w:hAnsi="仿宋" w:eastAsia="仿宋" w:cs="宋体"/>
          <w:sz w:val="28"/>
          <w:szCs w:val="30"/>
        </w:rPr>
        <w:t>（</w:t>
      </w:r>
      <w:r>
        <w:rPr>
          <w:rFonts w:hint="eastAsia" w:ascii="仿宋" w:hAnsi="仿宋" w:eastAsia="仿宋" w:cs="宋体"/>
          <w:sz w:val="28"/>
          <w:szCs w:val="30"/>
          <w:lang w:val="en-US" w:eastAsia="zh-CN"/>
        </w:rPr>
        <w:t>二</w:t>
      </w:r>
      <w:r>
        <w:rPr>
          <w:rFonts w:hint="eastAsia" w:ascii="仿宋" w:hAnsi="仿宋" w:eastAsia="仿宋" w:cs="宋体"/>
          <w:sz w:val="28"/>
          <w:szCs w:val="30"/>
        </w:rPr>
        <w:t>）竞赛场地内设置背景板、宣传横幅及壁挂图，营造竞赛氛围；</w:t>
      </w:r>
    </w:p>
    <w:p>
      <w:pPr>
        <w:spacing w:line="360" w:lineRule="auto"/>
        <w:ind w:firstLine="560" w:firstLineChars="200"/>
        <w:rPr>
          <w:rFonts w:ascii="仿宋" w:hAnsi="仿宋" w:eastAsia="仿宋" w:cs="宋体"/>
          <w:sz w:val="28"/>
          <w:szCs w:val="30"/>
        </w:rPr>
      </w:pPr>
      <w:r>
        <w:rPr>
          <w:rFonts w:hint="eastAsia" w:ascii="仿宋" w:hAnsi="仿宋" w:eastAsia="仿宋" w:cs="宋体"/>
          <w:sz w:val="28"/>
          <w:szCs w:val="30"/>
        </w:rPr>
        <w:t>（</w:t>
      </w:r>
      <w:r>
        <w:rPr>
          <w:rFonts w:hint="eastAsia" w:ascii="仿宋" w:hAnsi="仿宋" w:eastAsia="仿宋" w:cs="宋体"/>
          <w:sz w:val="28"/>
          <w:szCs w:val="30"/>
          <w:lang w:val="en-US" w:eastAsia="zh-CN"/>
        </w:rPr>
        <w:t>三</w:t>
      </w:r>
      <w:r>
        <w:rPr>
          <w:rFonts w:hint="eastAsia" w:ascii="仿宋" w:hAnsi="仿宋" w:eastAsia="仿宋" w:cs="宋体"/>
          <w:sz w:val="28"/>
          <w:szCs w:val="30"/>
        </w:rPr>
        <w:t>）局域网络。采用星形网络拓扑结构，安装千兆交换机。网线与电源线隐蔽铺设。采用独立网络环境，不连接INTERNET，禁止外部电脑接入。</w:t>
      </w:r>
    </w:p>
    <w:p>
      <w:pPr>
        <w:spacing w:line="360" w:lineRule="auto"/>
        <w:ind w:firstLine="560" w:firstLineChars="200"/>
        <w:rPr>
          <w:rFonts w:ascii="仿宋" w:hAnsi="仿宋" w:eastAsia="仿宋" w:cs="宋体"/>
          <w:sz w:val="28"/>
          <w:szCs w:val="30"/>
        </w:rPr>
      </w:pPr>
      <w:r>
        <w:rPr>
          <w:rFonts w:hint="eastAsia" w:ascii="仿宋" w:hAnsi="仿宋" w:eastAsia="仿宋" w:cs="宋体"/>
          <w:sz w:val="28"/>
          <w:szCs w:val="30"/>
        </w:rPr>
        <w:t>（</w:t>
      </w:r>
      <w:r>
        <w:rPr>
          <w:rFonts w:hint="eastAsia" w:ascii="仿宋" w:hAnsi="仿宋" w:eastAsia="仿宋" w:cs="宋体"/>
          <w:sz w:val="28"/>
          <w:szCs w:val="30"/>
          <w:lang w:val="en-US" w:eastAsia="zh-CN"/>
        </w:rPr>
        <w:t>四</w:t>
      </w:r>
      <w:r>
        <w:rPr>
          <w:rFonts w:hint="eastAsia" w:ascii="仿宋" w:hAnsi="仿宋" w:eastAsia="仿宋" w:cs="宋体"/>
          <w:sz w:val="28"/>
          <w:szCs w:val="30"/>
        </w:rPr>
        <w:t>）安全保障。采用统一的杀毒软件对服务器进行防毒保护。屏蔽竞赛现场使用的电脑USB接口。部署具有网络管理、账号管理和日志管理功能的综合监控系统。</w:t>
      </w:r>
    </w:p>
    <w:p>
      <w:pPr>
        <w:spacing w:line="360" w:lineRule="auto"/>
        <w:ind w:firstLine="560" w:firstLineChars="200"/>
        <w:rPr>
          <w:rFonts w:ascii="仿宋" w:hAnsi="仿宋" w:eastAsia="仿宋" w:cs="宋体"/>
          <w:sz w:val="28"/>
          <w:szCs w:val="30"/>
        </w:rPr>
      </w:pPr>
      <w:r>
        <w:rPr>
          <w:rFonts w:hint="eastAsia" w:ascii="仿宋" w:hAnsi="仿宋" w:eastAsia="仿宋" w:cs="宋体"/>
          <w:sz w:val="28"/>
          <w:szCs w:val="30"/>
        </w:rPr>
        <w:t>（</w:t>
      </w:r>
      <w:r>
        <w:rPr>
          <w:rFonts w:hint="eastAsia" w:ascii="仿宋" w:hAnsi="仿宋" w:eastAsia="仿宋" w:cs="宋体"/>
          <w:sz w:val="28"/>
          <w:szCs w:val="30"/>
          <w:lang w:val="en-US" w:eastAsia="zh-CN"/>
        </w:rPr>
        <w:t>五</w:t>
      </w:r>
      <w:r>
        <w:rPr>
          <w:rFonts w:hint="eastAsia" w:ascii="仿宋" w:hAnsi="仿宋" w:eastAsia="仿宋" w:cs="宋体"/>
          <w:sz w:val="28"/>
          <w:szCs w:val="30"/>
        </w:rPr>
        <w:t>）采用双路供电</w:t>
      </w:r>
      <w:r>
        <w:rPr>
          <w:rFonts w:hint="eastAsia" w:ascii="仿宋" w:hAnsi="仿宋" w:eastAsia="仿宋" w:cs="宋体"/>
          <w:sz w:val="28"/>
          <w:szCs w:val="30"/>
          <w:lang w:eastAsia="zh-CN"/>
        </w:rPr>
        <w:t>。</w:t>
      </w:r>
      <w:r>
        <w:rPr>
          <w:rFonts w:hint="eastAsia" w:ascii="仿宋" w:hAnsi="仿宋" w:eastAsia="仿宋" w:cs="宋体"/>
          <w:sz w:val="28"/>
          <w:szCs w:val="30"/>
        </w:rPr>
        <w:t>利用UPS防止现场因突然断电导致的系统数据丢失，额定功率：3KVA，后备时间：2小时，电池类型：输出电压：230V±5%V。</w:t>
      </w:r>
    </w:p>
    <w:p>
      <w:pPr>
        <w:outlineLvl w:val="0"/>
        <w:rPr>
          <w:rFonts w:ascii="仿宋" w:hAnsi="仿宋" w:eastAsia="仿宋"/>
          <w:sz w:val="28"/>
          <w:szCs w:val="28"/>
        </w:rPr>
      </w:pPr>
      <w:bookmarkStart w:id="7" w:name="_Toc61004418"/>
      <w:r>
        <w:rPr>
          <w:rFonts w:hint="eastAsia" w:ascii="仿宋" w:hAnsi="仿宋" w:eastAsia="仿宋" w:cs="宋体"/>
          <w:b/>
          <w:sz w:val="28"/>
          <w:szCs w:val="28"/>
        </w:rPr>
        <w:t>八、技术规范</w:t>
      </w:r>
      <w:bookmarkEnd w:id="7"/>
    </w:p>
    <w:p>
      <w:pPr>
        <w:spacing w:line="560" w:lineRule="exact"/>
        <w:ind w:firstLine="560" w:firstLineChars="200"/>
        <w:rPr>
          <w:rFonts w:ascii="仿宋" w:hAnsi="仿宋" w:eastAsia="仿宋" w:cs="宋体"/>
          <w:sz w:val="28"/>
          <w:szCs w:val="30"/>
        </w:rPr>
      </w:pPr>
      <w:r>
        <w:rPr>
          <w:rFonts w:hint="eastAsia" w:ascii="仿宋" w:hAnsi="仿宋" w:eastAsia="仿宋" w:cs="宋体"/>
          <w:sz w:val="28"/>
          <w:szCs w:val="30"/>
        </w:rPr>
        <w:t>（一）依据国际规范：</w:t>
      </w:r>
    </w:p>
    <w:p>
      <w:pPr>
        <w:spacing w:line="560" w:lineRule="exact"/>
        <w:ind w:firstLine="560" w:firstLineChars="200"/>
        <w:rPr>
          <w:rFonts w:ascii="仿宋" w:hAnsi="仿宋" w:eastAsia="仿宋" w:cs="宋体"/>
          <w:sz w:val="28"/>
          <w:szCs w:val="30"/>
        </w:rPr>
      </w:pPr>
      <w:r>
        <w:rPr>
          <w:rFonts w:hint="eastAsia" w:ascii="仿宋" w:hAnsi="仿宋" w:eastAsia="仿宋" w:cs="宋体"/>
          <w:sz w:val="28"/>
          <w:szCs w:val="30"/>
        </w:rPr>
        <w:t>《联合国国际货物销售合同公约》</w:t>
      </w:r>
    </w:p>
    <w:p>
      <w:pPr>
        <w:spacing w:line="560" w:lineRule="exact"/>
        <w:ind w:firstLine="560" w:firstLineChars="200"/>
        <w:rPr>
          <w:rFonts w:ascii="仿宋" w:hAnsi="仿宋" w:eastAsia="仿宋"/>
          <w:sz w:val="28"/>
          <w:szCs w:val="30"/>
        </w:rPr>
      </w:pPr>
      <w:r>
        <w:rPr>
          <w:rFonts w:ascii="仿宋" w:hAnsi="仿宋" w:eastAsia="仿宋"/>
          <w:sz w:val="28"/>
          <w:szCs w:val="30"/>
        </w:rPr>
        <w:t>（the United Nations Convention on Contracts for the International Sale of Goods，CISG）</w:t>
      </w:r>
    </w:p>
    <w:p>
      <w:pPr>
        <w:spacing w:line="560" w:lineRule="exact"/>
        <w:ind w:firstLine="560" w:firstLineChars="200"/>
        <w:rPr>
          <w:rFonts w:ascii="仿宋" w:hAnsi="仿宋" w:eastAsia="仿宋" w:cs="宋体"/>
          <w:sz w:val="28"/>
          <w:szCs w:val="30"/>
        </w:rPr>
      </w:pPr>
      <w:r>
        <w:rPr>
          <w:rFonts w:hint="eastAsia" w:ascii="仿宋" w:hAnsi="仿宋" w:eastAsia="仿宋" w:cs="宋体"/>
          <w:sz w:val="28"/>
          <w:szCs w:val="30"/>
        </w:rPr>
        <w:t>国际商会《跟单信用证统一惯例</w:t>
      </w:r>
      <w:r>
        <w:rPr>
          <w:rFonts w:ascii="仿宋" w:hAnsi="仿宋" w:eastAsia="仿宋"/>
          <w:sz w:val="28"/>
          <w:szCs w:val="30"/>
        </w:rPr>
        <w:t>（UCP600）</w:t>
      </w:r>
      <w:r>
        <w:rPr>
          <w:rFonts w:hint="eastAsia" w:ascii="仿宋" w:hAnsi="仿宋" w:eastAsia="仿宋" w:cs="宋体"/>
          <w:sz w:val="28"/>
          <w:szCs w:val="30"/>
        </w:rPr>
        <w:t>》</w:t>
      </w:r>
    </w:p>
    <w:p>
      <w:pPr>
        <w:spacing w:line="560" w:lineRule="exact"/>
        <w:ind w:firstLine="560" w:firstLineChars="200"/>
        <w:rPr>
          <w:rFonts w:ascii="仿宋" w:hAnsi="仿宋" w:eastAsia="仿宋"/>
          <w:sz w:val="28"/>
          <w:szCs w:val="30"/>
        </w:rPr>
      </w:pPr>
      <w:r>
        <w:rPr>
          <w:rFonts w:ascii="仿宋" w:hAnsi="仿宋" w:eastAsia="仿宋"/>
          <w:sz w:val="28"/>
          <w:szCs w:val="30"/>
        </w:rPr>
        <w:t>（Uniform Customs and Practice for Documentary Credits）</w:t>
      </w:r>
    </w:p>
    <w:p>
      <w:pPr>
        <w:spacing w:line="560" w:lineRule="exact"/>
        <w:ind w:firstLine="560" w:firstLineChars="200"/>
        <w:rPr>
          <w:rFonts w:ascii="仿宋" w:hAnsi="仿宋" w:eastAsia="仿宋" w:cs="宋体"/>
          <w:sz w:val="28"/>
          <w:szCs w:val="30"/>
        </w:rPr>
      </w:pPr>
      <w:r>
        <w:rPr>
          <w:rFonts w:hint="eastAsia" w:ascii="仿宋" w:hAnsi="仿宋" w:eastAsia="仿宋" w:cs="宋体"/>
          <w:sz w:val="28"/>
          <w:szCs w:val="30"/>
        </w:rPr>
        <w:t>《2020国际贸易术语解释通则》</w:t>
      </w:r>
    </w:p>
    <w:p>
      <w:pPr>
        <w:spacing w:line="560" w:lineRule="exact"/>
        <w:ind w:firstLine="560" w:firstLineChars="200"/>
        <w:rPr>
          <w:rFonts w:ascii="仿宋" w:hAnsi="仿宋" w:eastAsia="仿宋"/>
          <w:sz w:val="28"/>
          <w:szCs w:val="30"/>
        </w:rPr>
      </w:pPr>
      <w:r>
        <w:rPr>
          <w:rFonts w:ascii="仿宋" w:hAnsi="仿宋" w:eastAsia="仿宋"/>
          <w:sz w:val="28"/>
          <w:szCs w:val="30"/>
        </w:rPr>
        <w:t>（Incoterms International Rules for the Interpretation of Trade Terms）</w:t>
      </w:r>
    </w:p>
    <w:p>
      <w:pPr>
        <w:spacing w:line="560" w:lineRule="exact"/>
        <w:ind w:firstLine="560" w:firstLineChars="200"/>
        <w:rPr>
          <w:rFonts w:ascii="仿宋" w:hAnsi="仿宋" w:eastAsia="仿宋" w:cs="宋体"/>
          <w:sz w:val="28"/>
          <w:szCs w:val="30"/>
        </w:rPr>
      </w:pPr>
      <w:r>
        <w:rPr>
          <w:rFonts w:hint="eastAsia" w:ascii="仿宋" w:hAnsi="仿宋" w:eastAsia="仿宋" w:cs="宋体"/>
          <w:sz w:val="28"/>
          <w:szCs w:val="30"/>
        </w:rPr>
        <w:t>国际商会《托收统一规则</w:t>
      </w:r>
      <w:r>
        <w:rPr>
          <w:rFonts w:ascii="仿宋" w:hAnsi="仿宋" w:eastAsia="仿宋"/>
          <w:sz w:val="28"/>
          <w:szCs w:val="30"/>
        </w:rPr>
        <w:t>（URC522）</w:t>
      </w:r>
      <w:r>
        <w:rPr>
          <w:rFonts w:hint="eastAsia" w:ascii="仿宋" w:hAnsi="仿宋" w:eastAsia="仿宋" w:cs="宋体"/>
          <w:sz w:val="28"/>
          <w:szCs w:val="30"/>
        </w:rPr>
        <w:t>》</w:t>
      </w:r>
    </w:p>
    <w:p>
      <w:pPr>
        <w:spacing w:line="560" w:lineRule="exact"/>
        <w:ind w:firstLine="560" w:firstLineChars="200"/>
        <w:rPr>
          <w:rFonts w:ascii="仿宋" w:hAnsi="仿宋" w:eastAsia="仿宋"/>
          <w:sz w:val="28"/>
          <w:szCs w:val="30"/>
        </w:rPr>
      </w:pPr>
      <w:r>
        <w:rPr>
          <w:rFonts w:ascii="仿宋" w:hAnsi="仿宋" w:eastAsia="仿宋"/>
          <w:sz w:val="28"/>
          <w:szCs w:val="30"/>
        </w:rPr>
        <w:t>（Uniform RulesforCollections,ICCPublicationNo.522）</w:t>
      </w:r>
    </w:p>
    <w:p>
      <w:pPr>
        <w:spacing w:line="560" w:lineRule="exact"/>
        <w:ind w:firstLine="560" w:firstLineChars="200"/>
        <w:rPr>
          <w:rFonts w:ascii="仿宋" w:hAnsi="仿宋" w:eastAsia="仿宋"/>
          <w:sz w:val="28"/>
          <w:szCs w:val="30"/>
        </w:rPr>
      </w:pPr>
      <w:r>
        <w:rPr>
          <w:rFonts w:hint="eastAsia" w:ascii="仿宋" w:hAnsi="仿宋" w:eastAsia="仿宋"/>
          <w:sz w:val="28"/>
          <w:szCs w:val="30"/>
        </w:rPr>
        <w:t>（二）依据国家标准：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GB∕T 38652-2020 电子商务业务术语</w:t>
      </w:r>
    </w:p>
    <w:p>
      <w:pPr>
        <w:spacing w:line="560" w:lineRule="exact"/>
        <w:ind w:firstLine="560" w:firstLineChars="200"/>
        <w:rPr>
          <w:rFonts w:ascii="仿宋" w:hAnsi="仿宋" w:eastAsia="仿宋" w:cs="宋体"/>
          <w:sz w:val="28"/>
          <w:szCs w:val="30"/>
        </w:rPr>
      </w:pPr>
      <w:r>
        <w:rPr>
          <w:rFonts w:hint="eastAsia" w:ascii="仿宋" w:hAnsi="仿宋" w:eastAsia="仿宋" w:cs="宋体"/>
          <w:sz w:val="28"/>
          <w:szCs w:val="30"/>
        </w:rPr>
        <w:t>（三）依据职业教育国家教学资源库：</w:t>
      </w:r>
    </w:p>
    <w:p>
      <w:pPr>
        <w:spacing w:line="560" w:lineRule="exact"/>
        <w:ind w:firstLine="560" w:firstLineChars="200"/>
        <w:rPr>
          <w:rFonts w:ascii="仿宋" w:hAnsi="仿宋" w:eastAsia="仿宋" w:cs="宋体"/>
          <w:sz w:val="28"/>
          <w:szCs w:val="30"/>
        </w:rPr>
      </w:pPr>
      <w:r>
        <w:rPr>
          <w:rFonts w:hint="eastAsia" w:ascii="仿宋" w:hAnsi="仿宋" w:eastAsia="仿宋" w:cs="宋体"/>
          <w:sz w:val="28"/>
          <w:szCs w:val="30"/>
        </w:rPr>
        <w:t>《职业教育国际贸易专业国家教学资源库》</w:t>
      </w:r>
    </w:p>
    <w:p>
      <w:pPr>
        <w:outlineLvl w:val="0"/>
        <w:rPr>
          <w:rFonts w:hint="eastAsia" w:ascii="仿宋" w:hAnsi="仿宋" w:eastAsia="仿宋" w:cs="宋体"/>
          <w:b/>
          <w:sz w:val="28"/>
          <w:szCs w:val="28"/>
        </w:rPr>
      </w:pPr>
      <w:bookmarkStart w:id="8" w:name="_Toc61004419"/>
      <w:r>
        <w:rPr>
          <w:rFonts w:hint="eastAsia" w:ascii="仿宋" w:hAnsi="仿宋" w:eastAsia="仿宋" w:cs="宋体"/>
          <w:b/>
          <w:sz w:val="28"/>
          <w:szCs w:val="28"/>
        </w:rPr>
        <w:t>九、技术平台</w:t>
      </w:r>
      <w:bookmarkEnd w:id="8"/>
    </w:p>
    <w:p>
      <w:pPr>
        <w:jc w:val="center"/>
        <w:outlineLvl w:val="0"/>
        <w:rPr>
          <w:rFonts w:ascii="仿宋" w:hAnsi="仿宋" w:eastAsia="仿宋" w:cs="宋体"/>
          <w:sz w:val="24"/>
          <w:szCs w:val="30"/>
        </w:rPr>
      </w:pPr>
      <w:bookmarkStart w:id="15" w:name="_GoBack"/>
      <w:bookmarkEnd w:id="15"/>
      <w:r>
        <w:rPr>
          <w:rFonts w:hint="eastAsia" w:ascii="仿宋" w:hAnsi="仿宋" w:eastAsia="仿宋" w:cs="宋体"/>
          <w:sz w:val="24"/>
          <w:szCs w:val="30"/>
        </w:rPr>
        <w:t>表3 竞赛场地设备规格要求</w:t>
      </w:r>
    </w:p>
    <w:tbl>
      <w:tblPr>
        <w:tblStyle w:val="8"/>
        <w:tblW w:w="818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96"/>
        <w:gridCol w:w="58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0" w:hRule="atLeast"/>
          <w:jc w:val="center"/>
        </w:trPr>
        <w:tc>
          <w:tcPr>
            <w:tcW w:w="229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beforeAutospacing="0" w:afterAutospacing="0"/>
              <w:jc w:val="center"/>
              <w:rPr>
                <w:rFonts w:ascii="仿宋" w:hAnsi="仿宋" w:eastAsia="仿宋"/>
                <w:b/>
                <w:color w:val="0D0D0D"/>
                <w:kern w:val="2"/>
              </w:rPr>
            </w:pPr>
            <w:r>
              <w:rPr>
                <w:rFonts w:hint="eastAsia" w:ascii="仿宋" w:hAnsi="仿宋" w:eastAsia="仿宋"/>
                <w:b/>
                <w:color w:val="0D0D0D"/>
                <w:kern w:val="2"/>
              </w:rPr>
              <w:t>品名</w:t>
            </w:r>
          </w:p>
        </w:tc>
        <w:tc>
          <w:tcPr>
            <w:tcW w:w="588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beforeAutospacing="0" w:afterAutospacing="0"/>
              <w:jc w:val="center"/>
              <w:rPr>
                <w:rFonts w:ascii="仿宋" w:hAnsi="仿宋" w:eastAsia="仿宋"/>
                <w:b/>
                <w:color w:val="0D0D0D"/>
                <w:kern w:val="2"/>
              </w:rPr>
            </w:pPr>
            <w:r>
              <w:rPr>
                <w:rFonts w:hint="eastAsia" w:ascii="仿宋" w:hAnsi="仿宋" w:eastAsia="仿宋"/>
                <w:b/>
                <w:color w:val="0D0D0D"/>
                <w:kern w:val="2"/>
              </w:rPr>
              <w:t>规格要求说明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229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beforeAutospacing="0" w:afterAutospacing="0"/>
              <w:jc w:val="both"/>
              <w:rPr>
                <w:rFonts w:ascii="仿宋" w:hAnsi="仿宋" w:eastAsia="仿宋"/>
                <w:color w:val="0D0D0D"/>
                <w:kern w:val="2"/>
              </w:rPr>
            </w:pPr>
            <w:r>
              <w:rPr>
                <w:rFonts w:hint="eastAsia" w:ascii="仿宋" w:hAnsi="仿宋" w:eastAsia="仿宋"/>
                <w:color w:val="0D0D0D"/>
                <w:kern w:val="2"/>
              </w:rPr>
              <w:t>参赛选手计算机</w:t>
            </w:r>
          </w:p>
        </w:tc>
        <w:tc>
          <w:tcPr>
            <w:tcW w:w="5886" w:type="dxa"/>
            <w:tcBorders>
              <w:top w:val="single" w:color="auto" w:sz="4" w:space="0"/>
              <w:left w:val="single" w:color="auto" w:sz="4" w:space="0"/>
              <w:bottom w:val="single" w:color="auto" w:sz="4" w:space="0"/>
              <w:right w:val="single" w:color="auto" w:sz="4" w:space="0"/>
            </w:tcBorders>
          </w:tcPr>
          <w:p>
            <w:pPr>
              <w:pStyle w:val="7"/>
              <w:adjustRightInd w:val="0"/>
              <w:snapToGrid w:val="0"/>
              <w:spacing w:beforeAutospacing="0" w:afterAutospacing="0"/>
              <w:jc w:val="both"/>
              <w:rPr>
                <w:rFonts w:ascii="仿宋" w:hAnsi="仿宋" w:eastAsia="仿宋"/>
                <w:color w:val="0D0D0D"/>
                <w:kern w:val="2"/>
              </w:rPr>
            </w:pPr>
            <w:r>
              <w:rPr>
                <w:rFonts w:hint="eastAsia" w:ascii="仿宋" w:hAnsi="仿宋" w:eastAsia="仿宋" w:cs="仿宋"/>
              </w:rPr>
              <w:t>满足支持竞赛软件的硬件及软件要求。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229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beforeAutospacing="0" w:afterAutospacing="0"/>
              <w:jc w:val="both"/>
              <w:rPr>
                <w:rFonts w:ascii="仿宋" w:hAnsi="仿宋" w:eastAsia="仿宋"/>
                <w:color w:val="0D0D0D"/>
                <w:kern w:val="2"/>
              </w:rPr>
            </w:pPr>
            <w:r>
              <w:rPr>
                <w:rFonts w:hint="eastAsia" w:ascii="仿宋" w:hAnsi="仿宋" w:eastAsia="仿宋"/>
                <w:color w:val="0D0D0D"/>
                <w:kern w:val="2"/>
              </w:rPr>
              <w:t>网络连接设备</w:t>
            </w:r>
          </w:p>
        </w:tc>
        <w:tc>
          <w:tcPr>
            <w:tcW w:w="588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beforeAutospacing="0" w:afterAutospacing="0"/>
              <w:jc w:val="both"/>
              <w:rPr>
                <w:rFonts w:ascii="仿宋" w:hAnsi="仿宋" w:eastAsia="仿宋"/>
                <w:color w:val="0D0D0D"/>
                <w:kern w:val="2"/>
              </w:rPr>
            </w:pPr>
            <w:r>
              <w:rPr>
                <w:rFonts w:hint="eastAsia" w:ascii="仿宋" w:hAnsi="仿宋" w:eastAsia="仿宋" w:cs="仿宋"/>
              </w:rPr>
              <w:t>提供网络布线、交换机。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229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before="0" w:beforeAutospacing="0" w:after="0" w:afterAutospacing="0"/>
              <w:jc w:val="both"/>
              <w:rPr>
                <w:rFonts w:ascii="仿宋" w:hAnsi="仿宋" w:eastAsia="仿宋"/>
                <w:color w:val="0D0D0D"/>
                <w:kern w:val="2"/>
              </w:rPr>
            </w:pPr>
            <w:r>
              <w:rPr>
                <w:rFonts w:hint="eastAsia" w:ascii="仿宋" w:hAnsi="仿宋" w:eastAsia="仿宋"/>
                <w:color w:val="0D0D0D"/>
                <w:kern w:val="2"/>
              </w:rPr>
              <w:t>竞赛服务器</w:t>
            </w:r>
          </w:p>
        </w:tc>
        <w:tc>
          <w:tcPr>
            <w:tcW w:w="588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before="0" w:beforeAutospacing="0" w:after="0" w:afterAutospacing="0"/>
              <w:jc w:val="both"/>
              <w:rPr>
                <w:rFonts w:ascii="仿宋" w:hAnsi="仿宋" w:eastAsia="仿宋"/>
                <w:color w:val="0D0D0D"/>
                <w:kern w:val="2"/>
              </w:rPr>
            </w:pPr>
            <w:r>
              <w:rPr>
                <w:rFonts w:hint="eastAsia" w:ascii="仿宋" w:hAnsi="仿宋" w:eastAsia="仿宋"/>
                <w:color w:val="0D0D0D"/>
                <w:kern w:val="2"/>
              </w:rPr>
              <w:t>CPU：Xeon 2.0G（双核）以上；内存：16GB（含）以上；硬盘：2T（含）以上，有C盘，D盘两个以上硬盘分区；网卡：千兆网卡；操作系统： Windows Server 2008 R2 SP1（或Windows Server 2008 Service Pack 2、Windows Server 2012、Windows Server 2012 R2），安装IIS 7.0以上；数据库： Microsoft SQL Server 2008 R2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7" w:hRule="atLeast"/>
          <w:jc w:val="center"/>
        </w:trPr>
        <w:tc>
          <w:tcPr>
            <w:tcW w:w="229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beforeAutospacing="0" w:afterAutospacing="0"/>
              <w:jc w:val="both"/>
              <w:rPr>
                <w:rFonts w:ascii="仿宋" w:hAnsi="仿宋" w:eastAsia="仿宋"/>
                <w:kern w:val="2"/>
              </w:rPr>
            </w:pPr>
            <w:r>
              <w:rPr>
                <w:rFonts w:hint="eastAsia" w:ascii="仿宋" w:hAnsi="仿宋" w:eastAsia="仿宋"/>
                <w:kern w:val="2"/>
              </w:rPr>
              <w:t>竞赛平台</w:t>
            </w:r>
          </w:p>
        </w:tc>
        <w:tc>
          <w:tcPr>
            <w:tcW w:w="5886" w:type="dxa"/>
            <w:tcBorders>
              <w:top w:val="single" w:color="auto" w:sz="4" w:space="0"/>
              <w:left w:val="single" w:color="auto" w:sz="4" w:space="0"/>
              <w:bottom w:val="single" w:color="auto" w:sz="4" w:space="0"/>
              <w:right w:val="single" w:color="auto" w:sz="4" w:space="0"/>
            </w:tcBorders>
            <w:vAlign w:val="center"/>
          </w:tcPr>
          <w:p>
            <w:pPr>
              <w:pStyle w:val="7"/>
              <w:adjustRightInd w:val="0"/>
              <w:snapToGrid w:val="0"/>
              <w:spacing w:beforeAutospacing="0" w:afterAutospacing="0"/>
              <w:jc w:val="both"/>
              <w:rPr>
                <w:rFonts w:ascii="仿宋" w:hAnsi="仿宋" w:eastAsia="仿宋"/>
                <w:kern w:val="2"/>
                <w:szCs w:val="21"/>
              </w:rPr>
            </w:pPr>
            <w:r>
              <w:rPr>
                <w:rFonts w:hint="eastAsia" w:ascii="仿宋" w:hAnsi="仿宋" w:eastAsia="仿宋"/>
                <w:kern w:val="2"/>
                <w:szCs w:val="21"/>
              </w:rPr>
              <w:t>世格数字国际贸易综合技能实训平台软件</w:t>
            </w:r>
          </w:p>
        </w:tc>
      </w:tr>
    </w:tbl>
    <w:p>
      <w:pPr>
        <w:outlineLvl w:val="0"/>
        <w:rPr>
          <w:rFonts w:ascii="仿宋" w:hAnsi="仿宋" w:eastAsia="仿宋"/>
          <w:sz w:val="28"/>
          <w:szCs w:val="28"/>
        </w:rPr>
      </w:pPr>
      <w:bookmarkStart w:id="9" w:name="_Toc61004420"/>
      <w:r>
        <w:rPr>
          <w:rFonts w:hint="eastAsia" w:ascii="仿宋" w:hAnsi="仿宋" w:eastAsia="仿宋" w:cs="宋体"/>
          <w:b/>
          <w:sz w:val="28"/>
          <w:szCs w:val="28"/>
        </w:rPr>
        <w:t>十、成绩评定</w:t>
      </w:r>
      <w:bookmarkEnd w:id="9"/>
    </w:p>
    <w:p>
      <w:pPr>
        <w:ind w:firstLine="560" w:firstLineChars="200"/>
        <w:outlineLvl w:val="0"/>
        <w:rPr>
          <w:rFonts w:ascii="仿宋" w:hAnsi="仿宋" w:eastAsia="仿宋"/>
          <w:sz w:val="28"/>
          <w:szCs w:val="28"/>
        </w:rPr>
      </w:pPr>
      <w:r>
        <w:rPr>
          <w:rFonts w:hint="eastAsia" w:ascii="仿宋" w:hAnsi="仿宋" w:eastAsia="仿宋"/>
          <w:sz w:val="28"/>
          <w:szCs w:val="28"/>
        </w:rPr>
        <w:t>（一）评分标准</w:t>
      </w:r>
    </w:p>
    <w:p>
      <w:pPr>
        <w:ind w:firstLine="560" w:firstLineChars="200"/>
        <w:rPr>
          <w:rFonts w:ascii="仿宋" w:hAnsi="仿宋" w:eastAsia="仿宋"/>
          <w:sz w:val="28"/>
          <w:szCs w:val="28"/>
        </w:rPr>
      </w:pPr>
      <w:r>
        <w:rPr>
          <w:rFonts w:hint="eastAsia" w:ascii="仿宋" w:hAnsi="仿宋" w:eastAsia="仿宋"/>
          <w:sz w:val="28"/>
          <w:szCs w:val="28"/>
        </w:rPr>
        <w:t>竞赛各模块评分标准如下：</w:t>
      </w:r>
    </w:p>
    <w:p>
      <w:pPr>
        <w:ind w:firstLine="560" w:firstLineChars="200"/>
        <w:outlineLvl w:val="0"/>
        <w:rPr>
          <w:rFonts w:ascii="仿宋" w:hAnsi="仿宋" w:eastAsia="仿宋"/>
          <w:sz w:val="28"/>
          <w:szCs w:val="28"/>
        </w:rPr>
      </w:pPr>
      <w:r>
        <w:rPr>
          <w:rFonts w:hint="eastAsia" w:ascii="仿宋" w:hAnsi="仿宋" w:eastAsia="仿宋"/>
          <w:sz w:val="28"/>
          <w:szCs w:val="28"/>
        </w:rPr>
        <w:t>1.</w:t>
      </w:r>
      <w:r>
        <w:rPr>
          <w:rFonts w:hint="eastAsia" w:ascii="仿宋" w:hAnsi="仿宋" w:eastAsia="仿宋" w:cs="Arial"/>
          <w:sz w:val="28"/>
          <w:szCs w:val="28"/>
        </w:rPr>
        <w:t>外贸</w:t>
      </w:r>
      <w:r>
        <w:rPr>
          <w:rFonts w:hint="eastAsia" w:ascii="仿宋" w:hAnsi="仿宋" w:eastAsia="仿宋"/>
          <w:sz w:val="28"/>
          <w:szCs w:val="28"/>
        </w:rPr>
        <w:t>B2B模块</w:t>
      </w:r>
    </w:p>
    <w:p>
      <w:pPr>
        <w:spacing w:line="560" w:lineRule="exact"/>
        <w:jc w:val="center"/>
        <w:rPr>
          <w:rFonts w:ascii="仿宋" w:hAnsi="仿宋" w:eastAsia="仿宋" w:cs="宋体"/>
          <w:sz w:val="24"/>
        </w:rPr>
      </w:pPr>
      <w:r>
        <w:rPr>
          <w:rFonts w:hint="eastAsia" w:ascii="仿宋" w:hAnsi="仿宋" w:eastAsia="仿宋" w:cs="宋体"/>
          <w:sz w:val="24"/>
        </w:rPr>
        <w:t>表4 外贸B2B模块评分细则</w:t>
      </w:r>
    </w:p>
    <w:tbl>
      <w:tblPr>
        <w:tblStyle w:val="8"/>
        <w:tblW w:w="8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658"/>
        <w:gridCol w:w="4497"/>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358" w:type="dxa"/>
            <w:shd w:val="clear" w:color="auto" w:fill="auto"/>
            <w:vAlign w:val="center"/>
          </w:tcPr>
          <w:p>
            <w:pPr>
              <w:widowControl/>
              <w:jc w:val="center"/>
              <w:rPr>
                <w:rFonts w:ascii="仿宋" w:hAnsi="仿宋" w:eastAsia="仿宋" w:cs="宋体"/>
                <w:b/>
                <w:kern w:val="0"/>
                <w:sz w:val="24"/>
              </w:rPr>
            </w:pPr>
            <w:r>
              <w:rPr>
                <w:rFonts w:hint="eastAsia" w:ascii="仿宋" w:hAnsi="仿宋" w:eastAsia="仿宋" w:cs="宋体"/>
                <w:b/>
                <w:kern w:val="0"/>
                <w:sz w:val="24"/>
              </w:rPr>
              <w:t>项目</w:t>
            </w:r>
          </w:p>
        </w:tc>
        <w:tc>
          <w:tcPr>
            <w:tcW w:w="1658" w:type="dxa"/>
            <w:shd w:val="clear" w:color="auto" w:fill="auto"/>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要素</w:t>
            </w:r>
          </w:p>
        </w:tc>
        <w:tc>
          <w:tcPr>
            <w:tcW w:w="4497" w:type="dxa"/>
            <w:shd w:val="clear" w:color="auto" w:fill="auto"/>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评分细则</w:t>
            </w:r>
          </w:p>
        </w:tc>
        <w:tc>
          <w:tcPr>
            <w:tcW w:w="669" w:type="dxa"/>
            <w:shd w:val="clear" w:color="auto" w:fill="auto"/>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restart"/>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业务推广</w:t>
            </w:r>
          </w:p>
          <w:p>
            <w:pPr>
              <w:widowControl/>
              <w:jc w:val="center"/>
              <w:rPr>
                <w:rFonts w:ascii="仿宋" w:hAnsi="仿宋" w:eastAsia="仿宋" w:cs="宋体"/>
                <w:kern w:val="0"/>
                <w:sz w:val="24"/>
              </w:rPr>
            </w:pPr>
            <w:r>
              <w:rPr>
                <w:rFonts w:hint="eastAsia" w:ascii="仿宋" w:hAnsi="仿宋" w:eastAsia="仿宋" w:cs="宋体"/>
                <w:kern w:val="0"/>
                <w:sz w:val="24"/>
              </w:rPr>
              <w:t>（共5分）</w:t>
            </w:r>
          </w:p>
        </w:tc>
        <w:tc>
          <w:tcPr>
            <w:tcW w:w="1658" w:type="dxa"/>
            <w:vMerge w:val="restart"/>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建站管理</w:t>
            </w:r>
          </w:p>
          <w:p>
            <w:pPr>
              <w:widowControl/>
              <w:jc w:val="center"/>
              <w:rPr>
                <w:rFonts w:hint="default" w:ascii="仿宋" w:hAnsi="仿宋" w:eastAsia="仿宋" w:cs="宋体"/>
                <w:kern w:val="0"/>
                <w:sz w:val="24"/>
                <w:lang w:val="en-US" w:eastAsia="zh-CN"/>
              </w:rPr>
            </w:pP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管理公司信息：</w:t>
            </w:r>
          </w:p>
          <w:p>
            <w:pPr>
              <w:widowControl/>
              <w:rPr>
                <w:rFonts w:ascii="仿宋" w:hAnsi="仿宋" w:eastAsia="仿宋" w:cs="宋体"/>
                <w:kern w:val="0"/>
                <w:sz w:val="24"/>
              </w:rPr>
            </w:pPr>
            <w:r>
              <w:rPr>
                <w:rFonts w:hint="eastAsia" w:ascii="仿宋" w:hAnsi="仿宋" w:eastAsia="仿宋" w:cs="宋体"/>
                <w:kern w:val="0"/>
                <w:sz w:val="24"/>
              </w:rPr>
              <w:t>须完善公司信息，全部填写完整则得满分0.4分，具体包括5个主营业务(每个0.02分）、10个更多经营产品（每个0.008分）、设置公司标志（0.044分）、设置3个公司形象展示图（每个0.044分）及公司详细信息的填写（0.044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continue"/>
            <w:vAlign w:val="center"/>
          </w:tcPr>
          <w:p>
            <w:pPr>
              <w:widowControl/>
              <w:jc w:val="center"/>
              <w:rPr>
                <w:rFonts w:ascii="仿宋" w:hAnsi="仿宋" w:eastAsia="仿宋" w:cs="宋体"/>
                <w:kern w:val="0"/>
                <w:sz w:val="24"/>
              </w:rPr>
            </w:pP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完成A&amp;V认证得0.1分。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continue"/>
            <w:vAlign w:val="center"/>
          </w:tcPr>
          <w:p>
            <w:pPr>
              <w:widowControl/>
              <w:jc w:val="center"/>
              <w:rPr>
                <w:rFonts w:ascii="仿宋" w:hAnsi="仿宋" w:eastAsia="仿宋" w:cs="宋体"/>
                <w:kern w:val="0"/>
                <w:sz w:val="24"/>
              </w:rPr>
            </w:pP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加入金品诚企并完成管理能力评估得0.1分。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continue"/>
            <w:vAlign w:val="center"/>
          </w:tcPr>
          <w:p>
            <w:pPr>
              <w:widowControl/>
              <w:jc w:val="center"/>
              <w:rPr>
                <w:rFonts w:ascii="仿宋" w:hAnsi="仿宋" w:eastAsia="仿宋" w:cs="宋体"/>
                <w:kern w:val="0"/>
                <w:sz w:val="24"/>
              </w:rPr>
            </w:pP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完成店铺装修，包括更换主题和Banner，各0.1分。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restart"/>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产品管理</w:t>
            </w:r>
          </w:p>
          <w:p>
            <w:pPr>
              <w:widowControl/>
              <w:jc w:val="center"/>
              <w:rPr>
                <w:rFonts w:hint="default" w:ascii="仿宋" w:hAnsi="仿宋" w:eastAsia="仿宋" w:cs="宋体"/>
                <w:kern w:val="0"/>
                <w:sz w:val="24"/>
                <w:lang w:val="en-US" w:eastAsia="zh-CN"/>
              </w:rPr>
            </w:pP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发布产品的数量，发布1个产品得0.2分，5个满分。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continue"/>
            <w:vAlign w:val="center"/>
          </w:tcPr>
          <w:p>
            <w:pPr>
              <w:widowControl/>
              <w:jc w:val="center"/>
              <w:rPr>
                <w:rFonts w:ascii="仿宋" w:hAnsi="仿宋" w:eastAsia="仿宋" w:cs="宋体"/>
                <w:kern w:val="0"/>
                <w:sz w:val="24"/>
              </w:rPr>
            </w:pP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发布产品的质量，包括产品标题、关键词、产品图片、原产地等产品属性、物流信息（包括发货期、港口等）、产品详情等，此项得分取所有产品页面的平均分。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continue"/>
            <w:vAlign w:val="center"/>
          </w:tcPr>
          <w:p>
            <w:pPr>
              <w:widowControl/>
              <w:jc w:val="center"/>
              <w:rPr>
                <w:rFonts w:ascii="仿宋" w:hAnsi="仿宋" w:eastAsia="仿宋" w:cs="宋体"/>
                <w:kern w:val="0"/>
                <w:sz w:val="24"/>
              </w:rPr>
            </w:pP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认证商品个数，每个0.04分，5个得满分。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continue"/>
            <w:vAlign w:val="center"/>
          </w:tcPr>
          <w:p>
            <w:pPr>
              <w:widowControl/>
              <w:jc w:val="center"/>
              <w:rPr>
                <w:rFonts w:ascii="仿宋" w:hAnsi="仿宋" w:eastAsia="仿宋" w:cs="宋体"/>
                <w:kern w:val="0"/>
                <w:sz w:val="24"/>
              </w:rPr>
            </w:pP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橱窗产品个数，每个0.04分，5个得满分。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continue"/>
            <w:vAlign w:val="center"/>
          </w:tcPr>
          <w:p>
            <w:pPr>
              <w:widowControl/>
              <w:jc w:val="center"/>
              <w:rPr>
                <w:rFonts w:ascii="仿宋" w:hAnsi="仿宋" w:eastAsia="仿宋" w:cs="宋体"/>
                <w:kern w:val="0"/>
                <w:sz w:val="24"/>
              </w:rPr>
            </w:pP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创建产品分组的个数，每创建一个一级分组得0.04分，5个得满分。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restart"/>
            <w:shd w:val="clear" w:color="auto" w:fill="auto"/>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采购直达</w:t>
            </w:r>
          </w:p>
          <w:p>
            <w:pPr>
              <w:widowControl/>
              <w:jc w:val="center"/>
              <w:rPr>
                <w:rFonts w:hint="eastAsia" w:ascii="仿宋" w:hAnsi="仿宋" w:eastAsia="仿宋" w:cs="宋体"/>
                <w:kern w:val="0"/>
                <w:sz w:val="24"/>
                <w:lang w:val="en-US" w:eastAsia="zh-CN"/>
              </w:rPr>
            </w:pP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发布采购需求数量，每个0.04分，5个满分。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continue"/>
            <w:vAlign w:val="center"/>
          </w:tcPr>
          <w:p>
            <w:pPr>
              <w:widowControl/>
              <w:jc w:val="center"/>
              <w:rPr>
                <w:rFonts w:ascii="仿宋" w:hAnsi="仿宋" w:eastAsia="仿宋" w:cs="宋体"/>
                <w:kern w:val="0"/>
                <w:sz w:val="24"/>
              </w:rPr>
            </w:pP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采购需求的内容，主要考察填写的完整性和正确性，此项得分取所有采购需求的平均分。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restart"/>
            <w:shd w:val="clear" w:color="auto" w:fill="auto"/>
            <w:vAlign w:val="center"/>
          </w:tcPr>
          <w:p>
            <w:pPr>
              <w:widowControl/>
              <w:jc w:val="center"/>
              <w:rPr>
                <w:rFonts w:hint="default" w:ascii="仿宋" w:hAnsi="仿宋" w:eastAsia="仿宋" w:cs="宋体"/>
                <w:kern w:val="0"/>
                <w:sz w:val="24"/>
                <w:lang w:val="en-US" w:eastAsia="zh-CN"/>
              </w:rPr>
            </w:pPr>
            <w:r>
              <w:rPr>
                <w:rFonts w:hint="eastAsia" w:ascii="仿宋" w:hAnsi="仿宋" w:eastAsia="仿宋" w:cs="宋体"/>
                <w:kern w:val="0"/>
                <w:sz w:val="24"/>
              </w:rPr>
              <w:t>公司广告推广</w:t>
            </w: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发布公司广告的数量，每条0.1分，3条满分。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continue"/>
            <w:vAlign w:val="center"/>
          </w:tcPr>
          <w:p>
            <w:pPr>
              <w:widowControl/>
              <w:jc w:val="center"/>
              <w:rPr>
                <w:rFonts w:ascii="仿宋" w:hAnsi="仿宋" w:eastAsia="仿宋" w:cs="宋体"/>
                <w:kern w:val="0"/>
                <w:sz w:val="24"/>
              </w:rPr>
            </w:pP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发布公司广告的质量，标题和内容要求均为英文，能较好地展示公司，突出公司的主营产品等。此项得分取所有公司广告的平均分。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寻找客户</w:t>
            </w:r>
          </w:p>
          <w:p>
            <w:pPr>
              <w:widowControl/>
              <w:jc w:val="center"/>
              <w:rPr>
                <w:rFonts w:ascii="仿宋" w:hAnsi="仿宋" w:eastAsia="仿宋" w:cs="宋体"/>
                <w:kern w:val="0"/>
                <w:sz w:val="24"/>
              </w:rPr>
            </w:pPr>
            <w:r>
              <w:rPr>
                <w:rFonts w:hint="eastAsia" w:ascii="仿宋" w:hAnsi="仿宋" w:eastAsia="仿宋" w:cs="宋体"/>
                <w:kern w:val="0"/>
                <w:sz w:val="24"/>
              </w:rPr>
              <w:t>（共16分）</w:t>
            </w:r>
          </w:p>
        </w:tc>
        <w:tc>
          <w:tcPr>
            <w:tcW w:w="1658"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客户群的多样化</w:t>
            </w: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考核“历史业务”中交易的客户数，每个客户1分，16个不同的客户得满分。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restart"/>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业务磋商</w:t>
            </w:r>
          </w:p>
          <w:p>
            <w:pPr>
              <w:widowControl/>
              <w:jc w:val="center"/>
              <w:rPr>
                <w:rFonts w:ascii="仿宋" w:hAnsi="仿宋" w:eastAsia="仿宋" w:cs="宋体"/>
                <w:kern w:val="0"/>
                <w:sz w:val="24"/>
              </w:rPr>
            </w:pPr>
            <w:r>
              <w:rPr>
                <w:rFonts w:hint="eastAsia" w:ascii="仿宋" w:hAnsi="仿宋" w:eastAsia="仿宋" w:cs="宋体"/>
                <w:kern w:val="0"/>
                <w:sz w:val="24"/>
              </w:rPr>
              <w:t>（共6分）</w:t>
            </w:r>
          </w:p>
        </w:tc>
        <w:tc>
          <w:tcPr>
            <w:tcW w:w="1658"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出口业务磋商</w:t>
            </w: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此项得分为“历史业务”中的每笔出口业务的“出口业务磋商”得分的平均分。具体每笔业务的评分如下：</w:t>
            </w:r>
          </w:p>
          <w:p>
            <w:pPr>
              <w:widowControl/>
              <w:rPr>
                <w:rFonts w:ascii="仿宋" w:hAnsi="仿宋" w:eastAsia="仿宋" w:cs="宋体"/>
                <w:kern w:val="0"/>
                <w:sz w:val="24"/>
              </w:rPr>
            </w:pPr>
            <w:r>
              <w:rPr>
                <w:rFonts w:hint="eastAsia" w:ascii="仿宋" w:hAnsi="仿宋" w:eastAsia="仿宋" w:cs="宋体"/>
                <w:kern w:val="0"/>
                <w:sz w:val="24"/>
              </w:rPr>
              <w:t>1.发出的函电中须有类型为“发盘”的函电，有则得0.5分，否则不得分；</w:t>
            </w:r>
          </w:p>
          <w:p>
            <w:pPr>
              <w:widowControl/>
              <w:rPr>
                <w:rFonts w:ascii="仿宋" w:hAnsi="仿宋" w:eastAsia="仿宋" w:cs="宋体"/>
                <w:kern w:val="0"/>
                <w:sz w:val="24"/>
              </w:rPr>
            </w:pPr>
            <w:r>
              <w:rPr>
                <w:rFonts w:hint="eastAsia" w:ascii="仿宋" w:hAnsi="仿宋" w:eastAsia="仿宋" w:cs="宋体"/>
                <w:kern w:val="0"/>
                <w:sz w:val="24"/>
              </w:rPr>
              <w:t>2.发出的“发盘”函电的正文中须包含以下要素：产品编号、产品名称、数量、单价（完整的表达）、总金额、结算方式、运输方式、装运港、目的港、保险条款（每个要素0.15分，共1.5分），错写或漏写则该要素不得分；</w:t>
            </w:r>
          </w:p>
          <w:p>
            <w:pPr>
              <w:widowControl/>
              <w:rPr>
                <w:rFonts w:ascii="仿宋" w:hAnsi="仿宋" w:eastAsia="仿宋" w:cs="宋体"/>
                <w:kern w:val="0"/>
                <w:sz w:val="24"/>
              </w:rPr>
            </w:pPr>
            <w:r>
              <w:rPr>
                <w:rFonts w:hint="eastAsia" w:ascii="仿宋" w:hAnsi="仿宋" w:eastAsia="仿宋" w:cs="宋体"/>
                <w:kern w:val="0"/>
                <w:sz w:val="24"/>
              </w:rPr>
              <w:t>注意：</w:t>
            </w:r>
          </w:p>
          <w:p>
            <w:pPr>
              <w:widowControl/>
              <w:rPr>
                <w:rFonts w:ascii="仿宋" w:hAnsi="仿宋" w:eastAsia="仿宋" w:cs="宋体"/>
                <w:kern w:val="0"/>
                <w:sz w:val="24"/>
              </w:rPr>
            </w:pPr>
            <w:r>
              <w:rPr>
                <w:rFonts w:hint="eastAsia" w:ascii="仿宋" w:hAnsi="仿宋" w:eastAsia="仿宋" w:cs="宋体"/>
                <w:kern w:val="0"/>
                <w:sz w:val="24"/>
              </w:rPr>
              <w:t>（1）发盘要素的标题必须与范例（详见“竞赛试题”）完全一致，否则不得分；</w:t>
            </w:r>
          </w:p>
          <w:p>
            <w:pPr>
              <w:widowControl/>
              <w:rPr>
                <w:rFonts w:ascii="仿宋" w:hAnsi="仿宋" w:eastAsia="仿宋" w:cs="宋体"/>
                <w:kern w:val="0"/>
                <w:sz w:val="24"/>
              </w:rPr>
            </w:pPr>
            <w:r>
              <w:rPr>
                <w:rFonts w:hint="eastAsia" w:ascii="仿宋" w:hAnsi="仿宋" w:eastAsia="仿宋" w:cs="宋体"/>
                <w:kern w:val="0"/>
                <w:sz w:val="24"/>
              </w:rPr>
              <w:t>（2）如有多次“发盘”，无须每封函电都写全所有要素，这些要素可分布在不同的函电中；</w:t>
            </w:r>
          </w:p>
          <w:p>
            <w:pPr>
              <w:widowControl/>
              <w:rPr>
                <w:rFonts w:ascii="仿宋" w:hAnsi="仿宋" w:eastAsia="仿宋" w:cs="宋体"/>
                <w:kern w:val="0"/>
                <w:sz w:val="24"/>
              </w:rPr>
            </w:pPr>
            <w:r>
              <w:rPr>
                <w:rFonts w:hint="eastAsia" w:ascii="仿宋" w:hAnsi="仿宋" w:eastAsia="仿宋" w:cs="宋体"/>
                <w:kern w:val="0"/>
                <w:sz w:val="24"/>
              </w:rPr>
              <w:t>3.所有函电的标题和正文必须为英文，符合要求得0.5分，否则不得分。</w:t>
            </w:r>
          </w:p>
          <w:p>
            <w:pPr>
              <w:widowControl/>
              <w:rPr>
                <w:rFonts w:ascii="仿宋" w:hAnsi="仿宋" w:eastAsia="仿宋" w:cs="宋体"/>
                <w:kern w:val="0"/>
                <w:sz w:val="24"/>
              </w:rPr>
            </w:pPr>
            <w:r>
              <w:rPr>
                <w:rFonts w:hint="eastAsia" w:ascii="仿宋" w:hAnsi="仿宋" w:eastAsia="仿宋" w:cs="宋体"/>
                <w:kern w:val="0"/>
                <w:sz w:val="24"/>
              </w:rPr>
              <w:t>4.所有发出的函电正文平均字数（包括标点）达到400个字符则得0.5分，不达标不得分。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进口业务磋商</w:t>
            </w: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此项得分为“历史业务”中的每笔进口业务的“进口业务磋商”得分的平均分。具体每笔业务的评分如下：</w:t>
            </w:r>
          </w:p>
          <w:p>
            <w:pPr>
              <w:widowControl/>
              <w:rPr>
                <w:rFonts w:ascii="仿宋" w:hAnsi="仿宋" w:eastAsia="仿宋" w:cs="宋体"/>
                <w:kern w:val="0"/>
                <w:sz w:val="24"/>
              </w:rPr>
            </w:pPr>
            <w:r>
              <w:rPr>
                <w:rFonts w:hint="eastAsia" w:ascii="仿宋" w:hAnsi="仿宋" w:eastAsia="仿宋" w:cs="宋体"/>
                <w:kern w:val="0"/>
                <w:sz w:val="24"/>
              </w:rPr>
              <w:t>1.发出的函电中须有“询盘”和“接受”两种类型的函电，每个类型各0.5分，有则得分，否则不得分，共1分；</w:t>
            </w:r>
          </w:p>
          <w:p>
            <w:pPr>
              <w:widowControl/>
              <w:rPr>
                <w:rFonts w:ascii="仿宋" w:hAnsi="仿宋" w:eastAsia="仿宋" w:cs="宋体"/>
                <w:kern w:val="0"/>
                <w:sz w:val="24"/>
              </w:rPr>
            </w:pPr>
            <w:r>
              <w:rPr>
                <w:rFonts w:hint="eastAsia" w:ascii="仿宋" w:hAnsi="仿宋" w:eastAsia="仿宋" w:cs="宋体"/>
                <w:kern w:val="0"/>
                <w:sz w:val="24"/>
              </w:rPr>
              <w:t>2.发出的“询盘”函电的正文中包含产品名称则得0.5分，否则不得分；</w:t>
            </w:r>
          </w:p>
          <w:p>
            <w:pPr>
              <w:widowControl/>
              <w:rPr>
                <w:rFonts w:ascii="仿宋" w:hAnsi="仿宋" w:eastAsia="仿宋" w:cs="宋体"/>
                <w:kern w:val="0"/>
                <w:sz w:val="24"/>
              </w:rPr>
            </w:pPr>
            <w:r>
              <w:rPr>
                <w:rFonts w:hint="eastAsia" w:ascii="仿宋" w:hAnsi="仿宋" w:eastAsia="仿宋" w:cs="宋体"/>
                <w:kern w:val="0"/>
                <w:sz w:val="24"/>
              </w:rPr>
              <w:t>3.发出的“接受”函电的正文中包含关键词“accept”或“accepted”，包含2个关键词中的任意1个则得0.5分，否则不得分；</w:t>
            </w:r>
          </w:p>
          <w:p>
            <w:pPr>
              <w:widowControl/>
              <w:rPr>
                <w:rFonts w:ascii="仿宋" w:hAnsi="仿宋" w:eastAsia="仿宋" w:cs="宋体"/>
                <w:kern w:val="0"/>
                <w:sz w:val="24"/>
              </w:rPr>
            </w:pPr>
            <w:r>
              <w:rPr>
                <w:rFonts w:hint="eastAsia" w:ascii="仿宋" w:hAnsi="仿宋" w:eastAsia="仿宋" w:cs="宋体"/>
                <w:kern w:val="0"/>
                <w:sz w:val="24"/>
              </w:rPr>
              <w:t>4.所有函电的标题和正文必须为英文，符合要求得0.5分，否则不得分。</w:t>
            </w:r>
          </w:p>
          <w:p>
            <w:pPr>
              <w:widowControl/>
              <w:rPr>
                <w:rFonts w:ascii="仿宋" w:hAnsi="仿宋" w:eastAsia="仿宋" w:cs="宋体"/>
                <w:kern w:val="0"/>
                <w:sz w:val="24"/>
              </w:rPr>
            </w:pPr>
            <w:r>
              <w:rPr>
                <w:rFonts w:hint="eastAsia" w:ascii="仿宋" w:hAnsi="仿宋" w:eastAsia="仿宋" w:cs="宋体"/>
                <w:kern w:val="0"/>
                <w:sz w:val="24"/>
              </w:rPr>
              <w:t>5.所有发出的函电正文平均字数（包括标点）达到400个字符则得0.5分，不达标不得分。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restart"/>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进出口价格核算</w:t>
            </w:r>
          </w:p>
          <w:p>
            <w:pPr>
              <w:widowControl/>
              <w:jc w:val="center"/>
              <w:rPr>
                <w:rFonts w:ascii="仿宋" w:hAnsi="仿宋" w:eastAsia="仿宋" w:cs="宋体"/>
                <w:kern w:val="0"/>
                <w:sz w:val="24"/>
              </w:rPr>
            </w:pPr>
            <w:r>
              <w:rPr>
                <w:rFonts w:hint="eastAsia" w:ascii="仿宋" w:hAnsi="仿宋" w:eastAsia="仿宋" w:cs="宋体"/>
                <w:kern w:val="0"/>
                <w:sz w:val="24"/>
              </w:rPr>
              <w:t>（共15分）</w:t>
            </w:r>
          </w:p>
        </w:tc>
        <w:tc>
          <w:tcPr>
            <w:tcW w:w="1658"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出口成本预算</w:t>
            </w: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此项得分为：“历史业务”中出口成本预算表的平均得分×7.5%。</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进口成本预算</w:t>
            </w: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此项得分为：“历史业务”中进口成本预算表的平均得分×7.5%。</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签订合同</w:t>
            </w:r>
          </w:p>
          <w:p>
            <w:pPr>
              <w:widowControl/>
              <w:jc w:val="center"/>
              <w:rPr>
                <w:rFonts w:ascii="仿宋" w:hAnsi="仿宋" w:eastAsia="仿宋" w:cs="宋体"/>
                <w:kern w:val="0"/>
                <w:sz w:val="24"/>
              </w:rPr>
            </w:pPr>
            <w:r>
              <w:rPr>
                <w:rFonts w:hint="eastAsia" w:ascii="仿宋" w:hAnsi="仿宋" w:eastAsia="仿宋" w:cs="宋体"/>
                <w:kern w:val="0"/>
                <w:sz w:val="24"/>
              </w:rPr>
              <w:t>（共3.5分）</w:t>
            </w:r>
          </w:p>
        </w:tc>
        <w:tc>
          <w:tcPr>
            <w:tcW w:w="1658"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进出口合同订立</w:t>
            </w: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“历史业务”中每笔进出口业务得0.25分，14笔满分。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restart"/>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业务多样性</w:t>
            </w:r>
          </w:p>
          <w:p>
            <w:pPr>
              <w:widowControl/>
              <w:jc w:val="center"/>
              <w:rPr>
                <w:rFonts w:ascii="仿宋" w:hAnsi="仿宋" w:eastAsia="仿宋" w:cs="宋体"/>
                <w:kern w:val="0"/>
                <w:sz w:val="24"/>
              </w:rPr>
            </w:pPr>
            <w:r>
              <w:rPr>
                <w:rFonts w:hint="eastAsia" w:ascii="仿宋" w:hAnsi="仿宋" w:eastAsia="仿宋" w:cs="宋体"/>
                <w:kern w:val="0"/>
                <w:sz w:val="24"/>
              </w:rPr>
              <w:t>（共34.5分）</w:t>
            </w:r>
          </w:p>
        </w:tc>
        <w:tc>
          <w:tcPr>
            <w:tcW w:w="1658" w:type="dxa"/>
            <w:vMerge w:val="restart"/>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成交产品数</w:t>
            </w: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“历史业务”中出口产品应多样化，每个不同的产品（按产品编号）得1分，8个满分。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continue"/>
            <w:vAlign w:val="center"/>
          </w:tcPr>
          <w:p>
            <w:pPr>
              <w:widowControl/>
              <w:jc w:val="center"/>
              <w:rPr>
                <w:rFonts w:ascii="仿宋" w:hAnsi="仿宋" w:eastAsia="仿宋" w:cs="宋体"/>
                <w:kern w:val="0"/>
                <w:sz w:val="24"/>
              </w:rPr>
            </w:pP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“历史业务”中进口产品应多样化，每个不同的产品（按产品编号）得1分，8个满分。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restart"/>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主要贸易术语的掌握和运用</w:t>
            </w: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“历史业务”中出口业务贸易术语使用种类数量，使用一种得0.5分，6种得满分。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continue"/>
            <w:vAlign w:val="center"/>
          </w:tcPr>
          <w:p>
            <w:pPr>
              <w:widowControl/>
              <w:jc w:val="center"/>
              <w:rPr>
                <w:rFonts w:ascii="仿宋" w:hAnsi="仿宋" w:eastAsia="仿宋" w:cs="宋体"/>
                <w:kern w:val="0"/>
                <w:sz w:val="24"/>
              </w:rPr>
            </w:pP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“历史业务”中进口业务贸易术语使用种类数量，使用一种得0.5分，6种得满分。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restart"/>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主要结算方式的掌握和运用</w:t>
            </w: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“历史业务”中出口业务结算方式使用种类数量，使用一种得0.5分，5种得满分。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continue"/>
            <w:vAlign w:val="center"/>
          </w:tcPr>
          <w:p>
            <w:pPr>
              <w:widowControl/>
              <w:jc w:val="center"/>
              <w:rPr>
                <w:rFonts w:ascii="仿宋" w:hAnsi="仿宋" w:eastAsia="仿宋" w:cs="宋体"/>
                <w:kern w:val="0"/>
                <w:sz w:val="24"/>
              </w:rPr>
            </w:pP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“历史业务”中进口业务结算方式使用种类数量，使用一种得0.5分，5种得满分。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restart"/>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海运、空运两种运输方式的合理运用</w:t>
            </w: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“历史业务”中海运业务的数量，每笔0.5分，9笔满分。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vMerge w:val="continue"/>
            <w:vAlign w:val="center"/>
          </w:tcPr>
          <w:p>
            <w:pPr>
              <w:widowControl/>
              <w:jc w:val="center"/>
              <w:rPr>
                <w:rFonts w:ascii="仿宋" w:hAnsi="仿宋" w:eastAsia="仿宋" w:cs="宋体"/>
                <w:kern w:val="0"/>
                <w:sz w:val="24"/>
              </w:rPr>
            </w:pP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“历史业务”中空运业务的数量，每笔0.6分，5笔满分。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restart"/>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盈利能力</w:t>
            </w:r>
          </w:p>
          <w:p>
            <w:pPr>
              <w:widowControl/>
              <w:jc w:val="center"/>
              <w:rPr>
                <w:rFonts w:ascii="仿宋" w:hAnsi="仿宋" w:eastAsia="仿宋" w:cs="宋体"/>
                <w:kern w:val="0"/>
                <w:sz w:val="24"/>
              </w:rPr>
            </w:pPr>
            <w:r>
              <w:rPr>
                <w:rFonts w:hint="eastAsia" w:ascii="仿宋" w:hAnsi="仿宋" w:eastAsia="仿宋" w:cs="宋体"/>
                <w:kern w:val="0"/>
                <w:sz w:val="24"/>
              </w:rPr>
              <w:t>（共20分）</w:t>
            </w:r>
          </w:p>
        </w:tc>
        <w:tc>
          <w:tcPr>
            <w:tcW w:w="1658"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公司盈利能力</w:t>
            </w: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公司盈利率=（当前资金-初始资金）/初始资金=每笔业务盈亏额之和/初始资金</w:t>
            </w:r>
          </w:p>
          <w:p>
            <w:pPr>
              <w:widowControl/>
              <w:rPr>
                <w:rFonts w:ascii="仿宋" w:hAnsi="仿宋" w:eastAsia="仿宋" w:cs="宋体"/>
                <w:kern w:val="0"/>
                <w:sz w:val="24"/>
              </w:rPr>
            </w:pPr>
            <w:r>
              <w:rPr>
                <w:rFonts w:hint="eastAsia" w:ascii="仿宋" w:hAnsi="仿宋" w:eastAsia="仿宋" w:cs="宋体"/>
                <w:kern w:val="0"/>
                <w:sz w:val="24"/>
              </w:rPr>
              <w:t>每笔业务盈亏额为“历史业务”中预算表实际发生额一栏的“预期盈亏额”。</w:t>
            </w:r>
          </w:p>
          <w:p>
            <w:pPr>
              <w:widowControl/>
              <w:rPr>
                <w:rFonts w:ascii="仿宋" w:hAnsi="仿宋" w:eastAsia="仿宋" w:cs="宋体"/>
                <w:kern w:val="0"/>
                <w:sz w:val="24"/>
              </w:rPr>
            </w:pPr>
            <w:r>
              <w:rPr>
                <w:rFonts w:hint="eastAsia" w:ascii="仿宋" w:hAnsi="仿宋" w:eastAsia="仿宋" w:cs="宋体"/>
                <w:kern w:val="0"/>
                <w:sz w:val="24"/>
              </w:rPr>
              <w:t>公司盈利率小于等于0则此项得分为0；公司盈利率越高，此项得分越高，达到450%得满分。</w:t>
            </w:r>
          </w:p>
          <w:p>
            <w:pPr>
              <w:widowControl/>
              <w:rPr>
                <w:rFonts w:ascii="仿宋" w:hAnsi="仿宋" w:eastAsia="仿宋" w:cs="宋体"/>
                <w:kern w:val="0"/>
                <w:sz w:val="24"/>
              </w:rPr>
            </w:pPr>
          </w:p>
          <w:p>
            <w:pPr>
              <w:widowControl/>
              <w:rPr>
                <w:rFonts w:ascii="仿宋" w:hAnsi="仿宋" w:eastAsia="仿宋" w:cs="宋体"/>
                <w:kern w:val="0"/>
                <w:sz w:val="24"/>
              </w:rPr>
            </w:pPr>
            <w:r>
              <w:rPr>
                <w:rFonts w:hint="eastAsia" w:ascii="仿宋" w:hAnsi="仿宋" w:eastAsia="仿宋" w:cs="宋体"/>
                <w:kern w:val="0"/>
                <w:sz w:val="24"/>
              </w:rPr>
              <w:t>评分结果举例：</w:t>
            </w:r>
          </w:p>
          <w:p>
            <w:pPr>
              <w:widowControl/>
              <w:rPr>
                <w:rFonts w:ascii="仿宋" w:hAnsi="仿宋" w:eastAsia="仿宋" w:cs="宋体"/>
                <w:kern w:val="0"/>
                <w:sz w:val="24"/>
              </w:rPr>
            </w:pPr>
            <w:r>
              <w:rPr>
                <w:rFonts w:hint="eastAsia" w:ascii="仿宋" w:hAnsi="仿宋" w:eastAsia="仿宋" w:cs="宋体"/>
                <w:kern w:val="0"/>
                <w:sz w:val="24"/>
              </w:rPr>
              <w:t>公司盈利率为50%，得1.11分</w:t>
            </w:r>
          </w:p>
          <w:p>
            <w:pPr>
              <w:widowControl/>
              <w:rPr>
                <w:rFonts w:ascii="仿宋" w:hAnsi="仿宋" w:eastAsia="仿宋" w:cs="宋体"/>
                <w:kern w:val="0"/>
                <w:sz w:val="24"/>
              </w:rPr>
            </w:pPr>
            <w:r>
              <w:rPr>
                <w:rFonts w:hint="eastAsia" w:ascii="仿宋" w:hAnsi="仿宋" w:eastAsia="仿宋" w:cs="宋体"/>
                <w:kern w:val="0"/>
                <w:sz w:val="24"/>
              </w:rPr>
              <w:t>公司盈利率为100%，得2.07分</w:t>
            </w:r>
          </w:p>
          <w:p>
            <w:pPr>
              <w:widowControl/>
              <w:rPr>
                <w:rFonts w:ascii="仿宋" w:hAnsi="仿宋" w:eastAsia="仿宋" w:cs="宋体"/>
                <w:kern w:val="0"/>
                <w:sz w:val="24"/>
              </w:rPr>
            </w:pPr>
            <w:r>
              <w:rPr>
                <w:rFonts w:hint="eastAsia" w:ascii="仿宋" w:hAnsi="仿宋" w:eastAsia="仿宋" w:cs="宋体"/>
                <w:kern w:val="0"/>
                <w:sz w:val="24"/>
              </w:rPr>
              <w:t>公司盈利率为150%，得2.98分</w:t>
            </w:r>
          </w:p>
          <w:p>
            <w:pPr>
              <w:widowControl/>
              <w:rPr>
                <w:rFonts w:ascii="仿宋" w:hAnsi="仿宋" w:eastAsia="仿宋" w:cs="宋体"/>
                <w:kern w:val="0"/>
                <w:sz w:val="24"/>
              </w:rPr>
            </w:pPr>
            <w:r>
              <w:rPr>
                <w:rFonts w:hint="eastAsia" w:ascii="仿宋" w:hAnsi="仿宋" w:eastAsia="仿宋" w:cs="宋体"/>
                <w:kern w:val="0"/>
                <w:sz w:val="24"/>
              </w:rPr>
              <w:t>公司盈利率为200%，得3.86分</w:t>
            </w:r>
          </w:p>
          <w:p>
            <w:pPr>
              <w:widowControl/>
              <w:rPr>
                <w:rFonts w:ascii="仿宋" w:hAnsi="仿宋" w:eastAsia="仿宋" w:cs="宋体"/>
                <w:kern w:val="0"/>
                <w:sz w:val="24"/>
              </w:rPr>
            </w:pPr>
            <w:r>
              <w:rPr>
                <w:rFonts w:hint="eastAsia" w:ascii="仿宋" w:hAnsi="仿宋" w:eastAsia="仿宋" w:cs="宋体"/>
                <w:kern w:val="0"/>
                <w:sz w:val="24"/>
              </w:rPr>
              <w:t>公司盈利率为300%，得5.55分</w:t>
            </w:r>
          </w:p>
          <w:p>
            <w:pPr>
              <w:widowControl/>
              <w:rPr>
                <w:rFonts w:ascii="仿宋" w:hAnsi="仿宋" w:eastAsia="仿宋" w:cs="宋体"/>
                <w:kern w:val="0"/>
                <w:sz w:val="24"/>
              </w:rPr>
            </w:pPr>
            <w:r>
              <w:rPr>
                <w:rFonts w:hint="eastAsia" w:ascii="仿宋" w:hAnsi="仿宋" w:eastAsia="仿宋" w:cs="宋体"/>
                <w:kern w:val="0"/>
                <w:sz w:val="24"/>
              </w:rPr>
              <w:t>公司盈利率为350%，得6.38分</w:t>
            </w:r>
          </w:p>
          <w:p>
            <w:pPr>
              <w:widowControl/>
              <w:rPr>
                <w:rFonts w:ascii="仿宋" w:hAnsi="仿宋" w:eastAsia="仿宋" w:cs="宋体"/>
                <w:kern w:val="0"/>
                <w:sz w:val="24"/>
              </w:rPr>
            </w:pPr>
            <w:r>
              <w:rPr>
                <w:rFonts w:hint="eastAsia" w:ascii="仿宋" w:hAnsi="仿宋" w:eastAsia="仿宋" w:cs="宋体"/>
                <w:kern w:val="0"/>
                <w:sz w:val="24"/>
              </w:rPr>
              <w:t>公司盈利率为400%，得7.20分</w:t>
            </w:r>
          </w:p>
          <w:p>
            <w:pPr>
              <w:widowControl/>
              <w:rPr>
                <w:rFonts w:ascii="仿宋" w:hAnsi="仿宋" w:eastAsia="仿宋" w:cs="宋体"/>
                <w:kern w:val="0"/>
                <w:sz w:val="24"/>
              </w:rPr>
            </w:pPr>
            <w:r>
              <w:rPr>
                <w:rFonts w:hint="eastAsia" w:ascii="仿宋" w:hAnsi="仿宋" w:eastAsia="仿宋" w:cs="宋体"/>
                <w:kern w:val="0"/>
                <w:sz w:val="24"/>
              </w:rPr>
              <w:t>公司盈利率为450%，得8分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vMerge w:val="continue"/>
            <w:vAlign w:val="center"/>
          </w:tcPr>
          <w:p>
            <w:pPr>
              <w:widowControl/>
              <w:jc w:val="center"/>
              <w:rPr>
                <w:rFonts w:ascii="仿宋" w:hAnsi="仿宋" w:eastAsia="仿宋" w:cs="宋体"/>
                <w:kern w:val="0"/>
                <w:sz w:val="24"/>
              </w:rPr>
            </w:pPr>
          </w:p>
        </w:tc>
        <w:tc>
          <w:tcPr>
            <w:tcW w:w="1658"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业务利润率</w:t>
            </w:r>
          </w:p>
        </w:tc>
        <w:tc>
          <w:tcPr>
            <w:tcW w:w="4497" w:type="dxa"/>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此项得分为“历史业务”中的每笔进出口业务的“业务利润率”得分的平均分。</w:t>
            </w:r>
          </w:p>
          <w:p>
            <w:pPr>
              <w:widowControl/>
              <w:rPr>
                <w:rFonts w:ascii="仿宋" w:hAnsi="仿宋" w:eastAsia="仿宋" w:cs="宋体"/>
                <w:kern w:val="0"/>
                <w:sz w:val="24"/>
              </w:rPr>
            </w:pPr>
            <w:r>
              <w:rPr>
                <w:rFonts w:hint="eastAsia" w:ascii="仿宋" w:hAnsi="仿宋" w:eastAsia="仿宋" w:cs="宋体"/>
                <w:kern w:val="0"/>
                <w:sz w:val="24"/>
              </w:rPr>
              <w:t>每笔业务的“业务利润率”得分根据该业务预算表实际发生额一栏中“预期盈亏率”来评分，数值越大则分数越高，达到40%得满分。</w:t>
            </w:r>
          </w:p>
          <w:p>
            <w:pPr>
              <w:widowControl/>
              <w:rPr>
                <w:rFonts w:ascii="仿宋" w:hAnsi="仿宋" w:eastAsia="仿宋" w:cs="宋体"/>
                <w:kern w:val="0"/>
                <w:sz w:val="24"/>
              </w:rPr>
            </w:pPr>
          </w:p>
          <w:p>
            <w:pPr>
              <w:widowControl/>
              <w:rPr>
                <w:rFonts w:ascii="仿宋" w:hAnsi="仿宋" w:eastAsia="仿宋" w:cs="宋体"/>
                <w:kern w:val="0"/>
                <w:sz w:val="24"/>
              </w:rPr>
            </w:pPr>
            <w:r>
              <w:rPr>
                <w:rFonts w:hint="eastAsia" w:ascii="仿宋" w:hAnsi="仿宋" w:eastAsia="仿宋" w:cs="宋体"/>
                <w:kern w:val="0"/>
                <w:sz w:val="24"/>
              </w:rPr>
              <w:t>每笔业务的评分结果举例：</w:t>
            </w:r>
          </w:p>
          <w:p>
            <w:pPr>
              <w:widowControl/>
              <w:rPr>
                <w:rFonts w:ascii="仿宋" w:hAnsi="仿宋" w:eastAsia="仿宋" w:cs="宋体"/>
                <w:kern w:val="0"/>
                <w:sz w:val="24"/>
              </w:rPr>
            </w:pPr>
            <w:r>
              <w:rPr>
                <w:rFonts w:hint="eastAsia" w:ascii="仿宋" w:hAnsi="仿宋" w:eastAsia="仿宋" w:cs="宋体"/>
                <w:kern w:val="0"/>
                <w:sz w:val="24"/>
              </w:rPr>
              <w:t>业务利润率为5%，得1.85分</w:t>
            </w:r>
          </w:p>
          <w:p>
            <w:pPr>
              <w:widowControl/>
              <w:rPr>
                <w:rFonts w:ascii="仿宋" w:hAnsi="仿宋" w:eastAsia="仿宋" w:cs="宋体"/>
                <w:kern w:val="0"/>
                <w:sz w:val="24"/>
              </w:rPr>
            </w:pPr>
            <w:r>
              <w:rPr>
                <w:rFonts w:hint="eastAsia" w:ascii="仿宋" w:hAnsi="仿宋" w:eastAsia="仿宋" w:cs="宋体"/>
                <w:kern w:val="0"/>
                <w:sz w:val="24"/>
              </w:rPr>
              <w:t>业务利润率为10%，得3.45分</w:t>
            </w:r>
          </w:p>
          <w:p>
            <w:pPr>
              <w:widowControl/>
              <w:rPr>
                <w:rFonts w:ascii="仿宋" w:hAnsi="仿宋" w:eastAsia="仿宋" w:cs="宋体"/>
                <w:kern w:val="0"/>
                <w:sz w:val="24"/>
              </w:rPr>
            </w:pPr>
            <w:r>
              <w:rPr>
                <w:rFonts w:hint="eastAsia" w:ascii="仿宋" w:hAnsi="仿宋" w:eastAsia="仿宋" w:cs="宋体"/>
                <w:kern w:val="0"/>
                <w:sz w:val="24"/>
              </w:rPr>
              <w:t>业务利润率为15%，得4.96分</w:t>
            </w:r>
          </w:p>
          <w:p>
            <w:pPr>
              <w:widowControl/>
              <w:rPr>
                <w:rFonts w:ascii="仿宋" w:hAnsi="仿宋" w:eastAsia="仿宋" w:cs="宋体"/>
                <w:kern w:val="0"/>
                <w:sz w:val="24"/>
              </w:rPr>
            </w:pPr>
            <w:r>
              <w:rPr>
                <w:rFonts w:hint="eastAsia" w:ascii="仿宋" w:hAnsi="仿宋" w:eastAsia="仿宋" w:cs="宋体"/>
                <w:kern w:val="0"/>
                <w:sz w:val="24"/>
              </w:rPr>
              <w:t>业务利润率为20%，得6.43分</w:t>
            </w:r>
          </w:p>
          <w:p>
            <w:pPr>
              <w:widowControl/>
              <w:rPr>
                <w:rFonts w:ascii="仿宋" w:hAnsi="仿宋" w:eastAsia="仿宋" w:cs="宋体"/>
                <w:kern w:val="0"/>
                <w:sz w:val="24"/>
              </w:rPr>
            </w:pPr>
            <w:r>
              <w:rPr>
                <w:rFonts w:hint="eastAsia" w:ascii="仿宋" w:hAnsi="仿宋" w:eastAsia="仿宋" w:cs="宋体"/>
                <w:kern w:val="0"/>
                <w:sz w:val="24"/>
              </w:rPr>
              <w:t>业务利润率为25%，得7.86分</w:t>
            </w:r>
          </w:p>
          <w:p>
            <w:pPr>
              <w:widowControl/>
              <w:rPr>
                <w:rFonts w:ascii="仿宋" w:hAnsi="仿宋" w:eastAsia="仿宋" w:cs="宋体"/>
                <w:kern w:val="0"/>
                <w:sz w:val="24"/>
              </w:rPr>
            </w:pPr>
            <w:r>
              <w:rPr>
                <w:rFonts w:hint="eastAsia" w:ascii="仿宋" w:hAnsi="仿宋" w:eastAsia="仿宋" w:cs="宋体"/>
                <w:kern w:val="0"/>
                <w:sz w:val="24"/>
              </w:rPr>
              <w:t>业务利润率为30%，得9.26分</w:t>
            </w:r>
          </w:p>
          <w:p>
            <w:pPr>
              <w:widowControl/>
              <w:rPr>
                <w:rFonts w:ascii="仿宋" w:hAnsi="仿宋" w:eastAsia="仿宋" w:cs="宋体"/>
                <w:kern w:val="0"/>
                <w:sz w:val="24"/>
              </w:rPr>
            </w:pPr>
            <w:r>
              <w:rPr>
                <w:rFonts w:hint="eastAsia" w:ascii="仿宋" w:hAnsi="仿宋" w:eastAsia="仿宋" w:cs="宋体"/>
                <w:kern w:val="0"/>
                <w:sz w:val="24"/>
              </w:rPr>
              <w:t>业务利润率为35%，得10.64分</w:t>
            </w:r>
          </w:p>
          <w:p>
            <w:pPr>
              <w:widowControl/>
              <w:rPr>
                <w:rFonts w:ascii="仿宋" w:hAnsi="仿宋" w:eastAsia="仿宋" w:cs="宋体"/>
                <w:kern w:val="0"/>
                <w:sz w:val="24"/>
              </w:rPr>
            </w:pPr>
            <w:r>
              <w:rPr>
                <w:rFonts w:hint="eastAsia" w:ascii="仿宋" w:hAnsi="仿宋" w:eastAsia="仿宋" w:cs="宋体"/>
                <w:kern w:val="0"/>
                <w:sz w:val="24"/>
              </w:rPr>
              <w:t>业务利润率为40%，得12分</w:t>
            </w:r>
          </w:p>
          <w:p>
            <w:pPr>
              <w:widowControl/>
              <w:rPr>
                <w:rFonts w:ascii="仿宋" w:hAnsi="仿宋" w:eastAsia="仿宋" w:cs="宋体"/>
                <w:kern w:val="0"/>
                <w:sz w:val="24"/>
              </w:rPr>
            </w:pPr>
          </w:p>
          <w:p>
            <w:pPr>
              <w:widowControl/>
              <w:rPr>
                <w:rFonts w:ascii="仿宋" w:hAnsi="仿宋" w:eastAsia="仿宋" w:cs="宋体"/>
                <w:kern w:val="0"/>
                <w:sz w:val="24"/>
              </w:rPr>
            </w:pPr>
            <w:r>
              <w:rPr>
                <w:rFonts w:hint="eastAsia" w:ascii="仿宋" w:hAnsi="仿宋" w:eastAsia="仿宋" w:cs="宋体"/>
                <w:kern w:val="0"/>
                <w:sz w:val="24"/>
              </w:rPr>
              <w:t>例如：某同学一共完成3笔业务，业务一盈亏率为15%，业务二盈亏率为20%，业务三盈亏率为30%，则：</w:t>
            </w:r>
          </w:p>
          <w:p>
            <w:pPr>
              <w:widowControl/>
              <w:rPr>
                <w:rFonts w:ascii="仿宋" w:hAnsi="仿宋" w:eastAsia="仿宋" w:cs="宋体"/>
                <w:kern w:val="0"/>
                <w:sz w:val="24"/>
              </w:rPr>
            </w:pPr>
            <w:r>
              <w:rPr>
                <w:rFonts w:hint="eastAsia" w:ascii="仿宋" w:hAnsi="仿宋" w:eastAsia="仿宋" w:cs="宋体"/>
                <w:kern w:val="0"/>
                <w:sz w:val="24"/>
              </w:rPr>
              <w:t>业务利润率得分=（4.96+6.43+9.26）/3=6.88分</w:t>
            </w:r>
          </w:p>
        </w:tc>
        <w:tc>
          <w:tcPr>
            <w:tcW w:w="669" w:type="dxa"/>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12</w:t>
            </w:r>
          </w:p>
        </w:tc>
      </w:tr>
    </w:tbl>
    <w:p>
      <w:pPr>
        <w:tabs>
          <w:tab w:val="right" w:pos="8306"/>
        </w:tabs>
        <w:snapToGrid w:val="0"/>
        <w:spacing w:line="56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6种贸易术语为：CIF、FOB、CFR、CIP、FCA、CPT</w:t>
      </w:r>
    </w:p>
    <w:p>
      <w:pPr>
        <w:snapToGrid w:val="0"/>
        <w:spacing w:line="360" w:lineRule="auto"/>
        <w:ind w:firstLine="560" w:firstLineChars="200"/>
        <w:rPr>
          <w:rFonts w:ascii="仿宋" w:hAnsi="仿宋" w:eastAsia="仿宋" w:cs="Arial"/>
          <w:kern w:val="0"/>
          <w:sz w:val="28"/>
          <w:szCs w:val="28"/>
        </w:rPr>
      </w:pPr>
      <w:r>
        <w:rPr>
          <w:rFonts w:hint="eastAsia" w:ascii="仿宋" w:hAnsi="仿宋" w:eastAsia="仿宋" w:cs="Arial"/>
          <w:kern w:val="0"/>
          <w:sz w:val="28"/>
          <w:szCs w:val="28"/>
        </w:rPr>
        <w:t>5种结算方式为：100%T/T、T/T（定金+尾款）、L/C、D/P、D/A</w:t>
      </w:r>
    </w:p>
    <w:p>
      <w:pPr>
        <w:spacing w:line="360" w:lineRule="auto"/>
        <w:ind w:firstLine="570"/>
        <w:outlineLvl w:val="0"/>
        <w:rPr>
          <w:rFonts w:ascii="仿宋" w:hAnsi="仿宋" w:eastAsia="仿宋"/>
          <w:sz w:val="28"/>
          <w:szCs w:val="28"/>
        </w:rPr>
      </w:pPr>
      <w:r>
        <w:rPr>
          <w:rFonts w:hint="eastAsia" w:ascii="仿宋" w:hAnsi="仿宋" w:eastAsia="仿宋"/>
          <w:sz w:val="28"/>
          <w:szCs w:val="28"/>
        </w:rPr>
        <w:t>2.</w:t>
      </w:r>
      <w:r>
        <w:rPr>
          <w:rFonts w:hint="eastAsia" w:ascii="仿宋" w:hAnsi="仿宋" w:eastAsia="仿宋" w:cs="Arial"/>
          <w:sz w:val="28"/>
          <w:szCs w:val="28"/>
        </w:rPr>
        <w:t>外贸</w:t>
      </w:r>
      <w:r>
        <w:rPr>
          <w:rFonts w:hint="eastAsia" w:ascii="仿宋" w:hAnsi="仿宋" w:eastAsia="仿宋"/>
          <w:sz w:val="28"/>
          <w:szCs w:val="28"/>
        </w:rPr>
        <w:t>B2C模块</w:t>
      </w:r>
    </w:p>
    <w:p>
      <w:pPr>
        <w:spacing w:line="360" w:lineRule="auto"/>
        <w:ind w:firstLine="600" w:firstLineChars="200"/>
        <w:rPr>
          <w:rFonts w:ascii="仿宋_GB2312" w:hAnsi="仿宋" w:eastAsia="仿宋_GB2312"/>
          <w:sz w:val="30"/>
          <w:szCs w:val="30"/>
        </w:rPr>
      </w:pPr>
      <w:r>
        <w:rPr>
          <w:rFonts w:hint="eastAsia" w:ascii="仿宋_GB2312" w:hAnsi="仿宋" w:eastAsia="仿宋_GB2312" w:cs="Arial"/>
          <w:sz w:val="30"/>
          <w:szCs w:val="30"/>
        </w:rPr>
        <w:t>外贸</w:t>
      </w:r>
      <w:r>
        <w:rPr>
          <w:rFonts w:hint="eastAsia" w:ascii="仿宋_GB2312" w:hAnsi="仿宋" w:eastAsia="仿宋_GB2312"/>
          <w:sz w:val="30"/>
          <w:szCs w:val="30"/>
        </w:rPr>
        <w:t>B2C模块成绩由参赛队在系统中运营的公司分数构成。如果团队经营过多家公司（如破产后重建新公司），则取这些公司分数的最高值。具体计算方法如下：</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（1）公司分数</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公司分数受多种因素影响，这些因素包括“投资回报率分数”和“破产影响系数” 。</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公司分数计算公式：</w:t>
      </w:r>
    </w:p>
    <w:p>
      <w:pPr>
        <w:spacing w:line="360" w:lineRule="auto"/>
        <w:ind w:firstLine="1120" w:firstLineChars="400"/>
        <w:rPr>
          <w:rFonts w:ascii="仿宋_GB2312" w:hAnsi="仿宋" w:eastAsia="仿宋_GB2312"/>
          <w:sz w:val="28"/>
          <w:szCs w:val="30"/>
        </w:rPr>
      </w:pPr>
      <w:r>
        <w:rPr>
          <w:rFonts w:ascii="仿宋_GB2312" w:hAnsi="仿宋" w:eastAsia="仿宋_GB2312"/>
          <w:position w:val="-36"/>
          <w:sz w:val="28"/>
          <w:szCs w:val="30"/>
        </w:rPr>
        <w:object>
          <v:shape id="_x0000_i1025" o:spt="75" type="#_x0000_t75" style="height:42.75pt;width:147pt;" o:ole="t" filled="f" o:preferrelative="t" stroked="f" coordsize="21600,21600">
            <v:path/>
            <v:fill on="f" focussize="0,0"/>
            <v:stroke on="f" joinstyle="miter"/>
            <v:imagedata r:id="rId6" o:title=""/>
            <o:lock v:ext="edit" aspectratio="t"/>
            <w10:wrap type="none"/>
            <w10:anchorlock/>
          </v:shape>
          <o:OLEObject Type="Embed" ProgID="Equations" ShapeID="_x0000_i1025" DrawAspect="Content" ObjectID="_1468075725" r:id="rId5">
            <o:LockedField>false</o:LockedField>
          </o:OLEObject>
        </w:object>
      </w:r>
    </w:p>
    <w:p>
      <w:pPr>
        <w:ind w:firstLine="600" w:firstLineChars="200"/>
        <w:rPr>
          <w:rFonts w:ascii="仿宋_GB2312" w:hAnsi="仿宋" w:eastAsia="仿宋_GB2312"/>
          <w:sz w:val="30"/>
          <w:szCs w:val="30"/>
        </w:rPr>
      </w:pPr>
      <w:r>
        <w:rPr>
          <w:rFonts w:hint="eastAsia" w:ascii="仿宋_GB2312" w:hAnsi="仿宋" w:eastAsia="仿宋_GB2312"/>
          <w:sz w:val="30"/>
          <w:szCs w:val="30"/>
        </w:rPr>
        <w:t>其中：</w:t>
      </w:r>
    </w:p>
    <w:p>
      <w:pPr>
        <w:ind w:firstLine="600" w:firstLineChars="200"/>
        <w:rPr>
          <w:rFonts w:ascii="仿宋_GB2312" w:hAnsi="仿宋" w:eastAsia="仿宋_GB2312"/>
          <w:sz w:val="30"/>
          <w:szCs w:val="30"/>
        </w:rPr>
      </w:pPr>
      <w:r>
        <w:rPr>
          <w:rFonts w:hint="eastAsia" w:ascii="仿宋_GB2312" w:hAnsi="仿宋" w:eastAsia="仿宋_GB2312"/>
          <w:sz w:val="30"/>
          <w:szCs w:val="30"/>
        </w:rPr>
        <w:t xml:space="preserve">    </w:t>
      </w:r>
      <w:r>
        <w:rPr>
          <w:rFonts w:ascii="仿宋_GB2312" w:hAnsi="仿宋" w:eastAsia="仿宋_GB2312"/>
          <w:position w:val="-64"/>
          <w:sz w:val="30"/>
          <w:szCs w:val="30"/>
        </w:rPr>
        <w:object>
          <v:shape id="_x0000_i1026" o:spt="75" type="#_x0000_t75" style="height:72pt;width:129pt;" o:ole="t" filled="f" o:preferrelative="t" stroked="f" coordsize="21600,21600">
            <v:path/>
            <v:fill on="f" focussize="0,0"/>
            <v:stroke on="f" joinstyle="miter"/>
            <v:imagedata r:id="rId8" o:title=""/>
            <o:lock v:ext="edit" aspectratio="t"/>
            <w10:wrap type="none"/>
            <w10:anchorlock/>
          </v:shape>
          <o:OLEObject Type="Embed" ProgID="Equations" ShapeID="_x0000_i1026" DrawAspect="Content" ObjectID="_1468075726" r:id="rId7">
            <o:LockedField>false</o:LockedField>
          </o:OLEObject>
        </w:object>
      </w:r>
    </w:p>
    <w:p>
      <w:pPr>
        <w:ind w:firstLine="600" w:firstLineChars="200"/>
        <w:rPr>
          <w:rFonts w:ascii="仿宋_GB2312" w:hAnsi="仿宋" w:eastAsia="仿宋_GB2312"/>
          <w:sz w:val="30"/>
          <w:szCs w:val="30"/>
        </w:rPr>
      </w:pPr>
      <w:r>
        <w:rPr>
          <w:rFonts w:hint="eastAsia" w:ascii="仿宋_GB2312" w:hAnsi="仿宋" w:eastAsia="仿宋_GB2312"/>
          <w:sz w:val="30"/>
          <w:szCs w:val="30"/>
        </w:rPr>
        <w:t>设置：</w:t>
      </w:r>
    </w:p>
    <w:p>
      <w:pPr>
        <w:ind w:firstLine="1200" w:firstLineChars="400"/>
        <w:rPr>
          <w:rFonts w:ascii="仿宋_GB2312" w:hAnsi="仿宋" w:eastAsia="仿宋_GB2312"/>
          <w:sz w:val="30"/>
          <w:szCs w:val="30"/>
        </w:rPr>
      </w:pPr>
      <w:r>
        <w:rPr>
          <w:rFonts w:ascii="仿宋_GB2312" w:hAnsi="仿宋" w:eastAsia="仿宋_GB2312"/>
          <w:position w:val="-12"/>
          <w:sz w:val="30"/>
          <w:szCs w:val="30"/>
        </w:rPr>
        <w:object>
          <v:shape id="_x0000_i1027" o:spt="75" type="#_x0000_t75" style="height:18.75pt;width:51pt;" o:ole="t" filled="f" o:preferrelative="t" stroked="f" coordsize="21600,21600">
            <v:path/>
            <v:fill on="f" focussize="0,0"/>
            <v:stroke on="f" joinstyle="miter"/>
            <v:imagedata r:id="rId10" o:title=""/>
            <o:lock v:ext="edit" aspectratio="t"/>
            <w10:wrap type="none"/>
            <w10:anchorlock/>
          </v:shape>
          <o:OLEObject Type="Embed" ProgID="Equations" ShapeID="_x0000_i1027" DrawAspect="Content" ObjectID="_1468075727" r:id="rId9">
            <o:LockedField>false</o:LockedField>
          </o:OLEObject>
        </w:objec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（2）投资回报率分数</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投资回报率分数受多种因素影响，这些因素包括“投资回报率数值分数”和“投资回报率排名分数”。</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投资回报率分数计算公式：</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 xml:space="preserve">    </w:t>
      </w:r>
      <w:r>
        <w:rPr>
          <w:rFonts w:ascii="仿宋_GB2312" w:hAnsi="仿宋" w:eastAsia="仿宋_GB2312"/>
          <w:position w:val="-34"/>
          <w:sz w:val="30"/>
          <w:szCs w:val="30"/>
        </w:rPr>
        <w:object>
          <v:shape id="_x0000_i1028" o:spt="75" type="#_x0000_t75" style="height:39pt;width:150.75pt;" o:ole="t" filled="f" o:preferrelative="t" stroked="f" coordsize="21600,21600">
            <v:path/>
            <v:fill on="f" focussize="0,0"/>
            <v:stroke on="f" joinstyle="miter"/>
            <v:imagedata r:id="rId12" o:title=""/>
            <o:lock v:ext="edit" aspectratio="t"/>
            <w10:wrap type="none"/>
            <w10:anchorlock/>
          </v:shape>
          <o:OLEObject Type="Embed" ProgID="Equations" ShapeID="_x0000_i1028" DrawAspect="Content" ObjectID="_1468075728" r:id="rId11">
            <o:LockedField>false</o:LockedField>
          </o:OLEObject>
        </w:objec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其中：</w:t>
      </w:r>
    </w:p>
    <w:p>
      <w:pPr>
        <w:ind w:firstLine="600" w:firstLineChars="200"/>
        <w:rPr>
          <w:rFonts w:ascii="仿宋_GB2312" w:hAnsi="仿宋" w:eastAsia="仿宋_GB2312"/>
          <w:sz w:val="30"/>
          <w:szCs w:val="30"/>
        </w:rPr>
      </w:pPr>
      <w:r>
        <w:rPr>
          <w:rFonts w:hint="eastAsia" w:ascii="仿宋_GB2312" w:hAnsi="仿宋" w:eastAsia="仿宋_GB2312"/>
          <w:sz w:val="30"/>
          <w:szCs w:val="30"/>
        </w:rPr>
        <w:t xml:space="preserve">    </w:t>
      </w:r>
      <w:r>
        <w:rPr>
          <w:rFonts w:ascii="仿宋_GB2312" w:hAnsi="仿宋" w:eastAsia="仿宋_GB2312"/>
          <w:position w:val="-40"/>
          <w:sz w:val="30"/>
          <w:szCs w:val="30"/>
        </w:rPr>
        <w:object>
          <v:shape id="_x0000_i1029" o:spt="75" type="#_x0000_t75" style="height:47.25pt;width:162pt;" o:ole="t" filled="f" o:preferrelative="t" stroked="f" coordsize="21600,21600">
            <v:path/>
            <v:fill on="f" focussize="0,0"/>
            <v:stroke on="f" joinstyle="miter"/>
            <v:imagedata r:id="rId14" o:title=""/>
            <o:lock v:ext="edit" aspectratio="t"/>
            <w10:wrap type="none"/>
            <w10:anchorlock/>
          </v:shape>
          <o:OLEObject Type="Embed" ProgID="Equations" ShapeID="_x0000_i1029" DrawAspect="Content" ObjectID="_1468075729" r:id="rId13">
            <o:LockedField>false</o:LockedField>
          </o:OLEObject>
        </w:object>
      </w:r>
    </w:p>
    <w:p>
      <w:pPr>
        <w:ind w:firstLine="560" w:firstLineChars="200"/>
        <w:rPr>
          <w:rFonts w:ascii="仿宋" w:hAnsi="仿宋" w:eastAsia="仿宋"/>
          <w:sz w:val="28"/>
          <w:szCs w:val="28"/>
        </w:rPr>
      </w:pPr>
      <w:r>
        <w:rPr>
          <w:rFonts w:hint="eastAsia" w:ascii="仿宋" w:hAnsi="仿宋" w:eastAsia="仿宋"/>
          <w:sz w:val="28"/>
          <w:szCs w:val="28"/>
        </w:rPr>
        <w:t xml:space="preserve">    </w:t>
      </w:r>
      <w:r>
        <w:rPr>
          <w:rFonts w:ascii="仿宋" w:hAnsi="仿宋" w:eastAsia="仿宋"/>
          <w:position w:val="-66"/>
          <w:sz w:val="28"/>
          <w:szCs w:val="28"/>
        </w:rPr>
        <w:object>
          <v:shape id="_x0000_i1030" o:spt="75" type="#_x0000_t75" style="height:72.75pt;width:183.75pt;" o:ole="t" filled="f" o:preferrelative="t" stroked="f" coordsize="21600,21600">
            <v:path/>
            <v:fill on="f" focussize="0,0"/>
            <v:stroke on="f" joinstyle="miter"/>
            <v:imagedata r:id="rId16" o:title=""/>
            <o:lock v:ext="edit" aspectratio="t"/>
            <w10:wrap type="none"/>
            <w10:anchorlock/>
          </v:shape>
          <o:OLEObject Type="Embed" ProgID="Equations" ShapeID="_x0000_i1030" DrawAspect="Content" ObjectID="_1468075730" r:id="rId15">
            <o:LockedField>false</o:LockedField>
          </o:OLEObject>
        </w:object>
      </w:r>
    </w:p>
    <w:p>
      <w:pPr>
        <w:ind w:firstLine="600" w:firstLineChars="200"/>
        <w:rPr>
          <w:rFonts w:ascii="仿宋_GB2312" w:hAnsi="仿宋" w:eastAsia="仿宋_GB2312"/>
          <w:sz w:val="30"/>
          <w:szCs w:val="30"/>
        </w:rPr>
      </w:pPr>
      <w:r>
        <w:rPr>
          <w:rFonts w:hint="eastAsia" w:ascii="仿宋_GB2312" w:hAnsi="仿宋" w:eastAsia="仿宋_GB2312"/>
          <w:sz w:val="30"/>
          <w:szCs w:val="30"/>
        </w:rPr>
        <w:t>设置：</w:t>
      </w:r>
    </w:p>
    <w:p>
      <w:pPr>
        <w:ind w:firstLine="600" w:firstLineChars="200"/>
        <w:rPr>
          <w:rFonts w:ascii="仿宋_GB2312" w:hAnsi="仿宋" w:eastAsia="仿宋_GB2312"/>
          <w:sz w:val="30"/>
          <w:szCs w:val="30"/>
        </w:rPr>
      </w:pPr>
      <w:r>
        <w:rPr>
          <w:rFonts w:hint="eastAsia" w:ascii="仿宋_GB2312" w:hAnsi="仿宋" w:eastAsia="仿宋_GB2312"/>
          <w:sz w:val="30"/>
          <w:szCs w:val="30"/>
        </w:rPr>
        <w:t xml:space="preserve">    </w:t>
      </w:r>
      <w:r>
        <w:rPr>
          <w:rFonts w:ascii="仿宋_GB2312" w:hAnsi="仿宋" w:eastAsia="仿宋_GB2312"/>
          <w:position w:val="-38"/>
          <w:sz w:val="30"/>
          <w:szCs w:val="30"/>
        </w:rPr>
        <w:object>
          <v:shape id="_x0000_i1031" o:spt="75" type="#_x0000_t75" style="height:45pt;width:51pt;" o:ole="t" filled="f" o:preferrelative="t" stroked="f" coordsize="21600,21600">
            <v:path/>
            <v:fill on="f" focussize="0,0"/>
            <v:stroke on="f" joinstyle="miter"/>
            <v:imagedata r:id="rId18" o:title=""/>
            <o:lock v:ext="edit" aspectratio="t"/>
            <w10:wrap type="none"/>
            <w10:anchorlock/>
          </v:shape>
          <o:OLEObject Type="Embed" ProgID="Equations" ShapeID="_x0000_i1031" DrawAspect="Content" ObjectID="_1468075731" r:id="rId17">
            <o:LockedField>false</o:LockedField>
          </o:OLEObject>
        </w:objec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①投资回报率数值分数</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只有当投资回报率大于等于预先设定的阈值时才会应用下列公式计算此项分数，小于该阈值时则此项分数直接赋为预设的投资回报率数值分数最小值。</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投资回报率数值分数计算公式：</w:t>
      </w:r>
    </w:p>
    <w:p>
      <w:pPr>
        <w:spacing w:line="360" w:lineRule="auto"/>
        <w:ind w:firstLine="1200" w:firstLineChars="400"/>
        <w:rPr>
          <w:rFonts w:ascii="仿宋_GB2312" w:hAnsi="仿宋" w:eastAsia="仿宋_GB2312"/>
          <w:sz w:val="30"/>
          <w:szCs w:val="30"/>
        </w:rPr>
      </w:pPr>
      <w:r>
        <w:rPr>
          <w:rFonts w:ascii="仿宋_GB2312" w:hAnsi="仿宋" w:eastAsia="仿宋_GB2312"/>
          <w:position w:val="-56"/>
          <w:sz w:val="30"/>
          <w:szCs w:val="30"/>
        </w:rPr>
        <w:object>
          <v:shape id="_x0000_i1032" o:spt="75" type="#_x0000_t75" style="height:63pt;width:322.5pt;" o:ole="t" filled="f" o:preferrelative="t" stroked="f" coordsize="21600,21600">
            <v:path/>
            <v:fill on="f" focussize="0,0"/>
            <v:stroke on="f" joinstyle="miter"/>
            <v:imagedata r:id="rId20" o:title=""/>
            <o:lock v:ext="edit" aspectratio="t"/>
            <w10:wrap type="none"/>
            <w10:anchorlock/>
          </v:shape>
          <o:OLEObject Type="Embed" ProgID="Equations" ShapeID="_x0000_i1032" DrawAspect="Content" ObjectID="_1468075732" r:id="rId19">
            <o:LockedField>false</o:LockedField>
          </o:OLEObject>
        </w:object>
      </w:r>
    </w:p>
    <w:p>
      <w:pPr>
        <w:ind w:firstLine="600" w:firstLineChars="200"/>
        <w:rPr>
          <w:rFonts w:ascii="仿宋_GB2312" w:hAnsi="仿宋" w:eastAsia="仿宋_GB2312"/>
          <w:sz w:val="30"/>
          <w:szCs w:val="30"/>
        </w:rPr>
      </w:pPr>
      <w:r>
        <w:rPr>
          <w:rFonts w:hint="eastAsia" w:ascii="仿宋_GB2312" w:hAnsi="仿宋" w:eastAsia="仿宋_GB2312"/>
          <w:sz w:val="30"/>
          <w:szCs w:val="30"/>
        </w:rPr>
        <w:t>其中：</w:t>
      </w:r>
    </w:p>
    <w:p>
      <w:pPr>
        <w:ind w:firstLine="1134" w:firstLineChars="378"/>
        <w:rPr>
          <w:rFonts w:ascii="仿宋_GB2312" w:hAnsi="仿宋" w:eastAsia="仿宋_GB2312"/>
          <w:color w:val="000000"/>
          <w:kern w:val="24"/>
          <w:sz w:val="30"/>
          <w:szCs w:val="30"/>
        </w:rPr>
      </w:pPr>
      <w:r>
        <w:rPr>
          <w:rFonts w:ascii="仿宋_GB2312" w:hAnsi="仿宋" w:eastAsia="仿宋_GB2312"/>
          <w:position w:val="-154"/>
          <w:sz w:val="30"/>
          <w:szCs w:val="30"/>
        </w:rPr>
        <w:object>
          <v:shape id="_x0000_i1033" o:spt="75" type="#_x0000_t75" style="height:162pt;width:420.5pt;" o:ole="t" filled="f" o:preferrelative="t" stroked="f" coordsize="21600,21600">
            <v:path/>
            <v:fill on="f" focussize="0,0"/>
            <v:stroke on="f"/>
            <v:imagedata r:id="rId22" o:title=""/>
            <o:lock v:ext="edit" aspectratio="t"/>
            <w10:wrap type="none"/>
            <w10:anchorlock/>
          </v:shape>
          <o:OLEObject Type="Embed" ProgID="Equations" ShapeID="_x0000_i1033" DrawAspect="Content" ObjectID="_1468075733" r:id="rId21">
            <o:LockedField>false</o:LockedField>
          </o:OLEObject>
        </w:object>
      </w:r>
      <w:r>
        <w:rPr>
          <w:rFonts w:hint="eastAsia" w:ascii="仿宋_GB2312" w:hAnsi="仿宋" w:eastAsia="仿宋_GB2312"/>
          <w:sz w:val="30"/>
          <w:szCs w:val="30"/>
        </w:rPr>
        <w:t xml:space="preserve">    </w:t>
      </w:r>
      <w:r>
        <w:rPr>
          <w:rFonts w:hint="eastAsia" w:ascii="仿宋_GB2312" w:hAnsi="仿宋" w:eastAsia="仿宋_GB2312"/>
          <w:color w:val="000000"/>
          <w:kern w:val="24"/>
          <w:sz w:val="30"/>
          <w:szCs w:val="30"/>
        </w:rPr>
        <w:t>设置：</w:t>
      </w:r>
    </w:p>
    <w:p>
      <w:pPr>
        <w:ind w:firstLine="1200" w:firstLineChars="400"/>
        <w:rPr>
          <w:rFonts w:ascii="仿宋_GB2312" w:hAnsi="仿宋" w:eastAsia="仿宋_GB2312"/>
          <w:color w:val="000000"/>
          <w:kern w:val="24"/>
          <w:sz w:val="30"/>
          <w:szCs w:val="30"/>
        </w:rPr>
      </w:pPr>
      <w:r>
        <w:rPr>
          <w:rFonts w:ascii="仿宋_GB2312" w:hAnsi="仿宋" w:eastAsia="仿宋_GB2312"/>
          <w:color w:val="000000"/>
          <w:kern w:val="24"/>
          <w:position w:val="-64"/>
          <w:sz w:val="30"/>
          <w:szCs w:val="30"/>
        </w:rPr>
        <w:object>
          <v:shape id="_x0000_i1034" o:spt="75" type="#_x0000_t75" style="height:78.75pt;width:63.75pt;" o:ole="t" filled="f" o:preferrelative="t" stroked="f" coordsize="21600,21600">
            <v:path/>
            <v:fill on="f" focussize="0,0"/>
            <v:stroke on="f" joinstyle="miter"/>
            <v:imagedata r:id="rId24" o:title=""/>
            <o:lock v:ext="edit" aspectratio="t"/>
            <w10:wrap type="none"/>
            <w10:anchorlock/>
          </v:shape>
          <o:OLEObject Type="Embed" ProgID="Equations" ShapeID="_x0000_i1034" DrawAspect="Content" ObjectID="_1468075734" r:id="rId23">
            <o:LockedField>false</o:LockedField>
          </o:OLEObject>
        </w:objec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②投资回报率排名分数</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将投资回报率按照从高到低的顺序进行排名（最高的排名为 1），然后根据排名将其划归到不同档次，不同档次对应不同的分数。</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投资回报率排名分数计算公式：</w:t>
      </w:r>
    </w:p>
    <w:p>
      <w:pPr>
        <w:spacing w:line="360" w:lineRule="auto"/>
        <w:ind w:firstLine="1200" w:firstLineChars="400"/>
        <w:rPr>
          <w:rFonts w:ascii="仿宋_GB2312" w:hAnsi="仿宋" w:eastAsia="仿宋_GB2312"/>
          <w:sz w:val="30"/>
          <w:szCs w:val="30"/>
        </w:rPr>
      </w:pPr>
      <w:r>
        <w:rPr>
          <w:rFonts w:ascii="仿宋_GB2312" w:hAnsi="仿宋" w:eastAsia="仿宋_GB2312"/>
          <w:sz w:val="30"/>
          <w:szCs w:val="30"/>
        </w:rPr>
        <w:drawing>
          <wp:inline distT="0" distB="0" distL="0" distR="0">
            <wp:extent cx="2633345" cy="1108075"/>
            <wp:effectExtent l="19050" t="0" r="0" b="0"/>
            <wp:docPr id="2" name="图片 1" descr="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00001.png"/>
                    <pic:cNvPicPr>
                      <a:picLocks noChangeAspect="1"/>
                    </pic:cNvPicPr>
                  </pic:nvPicPr>
                  <pic:blipFill>
                    <a:blip r:embed="rId25" cstate="print"/>
                    <a:stretch>
                      <a:fillRect/>
                    </a:stretch>
                  </pic:blipFill>
                  <pic:spPr>
                    <a:xfrm>
                      <a:off x="0" y="0"/>
                      <a:ext cx="2633179" cy="1107990"/>
                    </a:xfrm>
                    <a:prstGeom prst="rect">
                      <a:avLst/>
                    </a:prstGeom>
                  </pic:spPr>
                </pic:pic>
              </a:graphicData>
            </a:graphic>
          </wp:inline>
        </w:drawing>
      </w:r>
    </w:p>
    <w:p>
      <w:pPr>
        <w:ind w:firstLine="600" w:firstLineChars="200"/>
        <w:rPr>
          <w:rFonts w:ascii="仿宋_GB2312" w:hAnsi="仿宋" w:eastAsia="仿宋_GB2312"/>
          <w:sz w:val="30"/>
          <w:szCs w:val="30"/>
        </w:rPr>
      </w:pPr>
      <w:r>
        <w:rPr>
          <w:rFonts w:hint="eastAsia" w:ascii="仿宋_GB2312" w:hAnsi="仿宋" w:eastAsia="仿宋_GB2312"/>
          <w:sz w:val="30"/>
          <w:szCs w:val="30"/>
        </w:rPr>
        <w:t>其中：</w:t>
      </w:r>
    </w:p>
    <w:p>
      <w:pPr>
        <w:ind w:firstLine="600" w:firstLineChars="200"/>
        <w:rPr>
          <w:rFonts w:ascii="仿宋_GB2312" w:hAnsi="仿宋" w:eastAsia="仿宋_GB2312"/>
          <w:sz w:val="30"/>
          <w:szCs w:val="30"/>
        </w:rPr>
      </w:pPr>
      <w:r>
        <w:rPr>
          <w:rFonts w:hint="eastAsia" w:ascii="仿宋_GB2312" w:hAnsi="仿宋" w:eastAsia="仿宋_GB2312"/>
          <w:sz w:val="30"/>
          <w:szCs w:val="30"/>
        </w:rPr>
        <w:t xml:space="preserve">    </w:t>
      </w:r>
      <w:r>
        <w:rPr>
          <w:rFonts w:ascii="仿宋_GB2312" w:hAnsi="仿宋" w:eastAsia="仿宋_GB2312"/>
          <w:position w:val="-150"/>
          <w:sz w:val="30"/>
          <w:szCs w:val="30"/>
        </w:rPr>
        <w:object>
          <v:shape id="_x0000_i1035" o:spt="75" type="#_x0000_t75" style="height:156.75pt;width:206.25pt;" o:ole="t" filled="f" o:preferrelative="t" stroked="f" coordsize="21600,21600">
            <v:path/>
            <v:fill on="f" focussize="0,0"/>
            <v:stroke on="f" joinstyle="miter"/>
            <v:imagedata r:id="rId27" o:title=""/>
            <o:lock v:ext="edit" aspectratio="t"/>
            <w10:wrap type="none"/>
            <w10:anchorlock/>
          </v:shape>
          <o:OLEObject Type="Embed" ProgID="Equations" ShapeID="_x0000_i1035" DrawAspect="Content" ObjectID="_1468075735" r:id="rId26">
            <o:LockedField>false</o:LockedField>
          </o:OLEObject>
        </w:objec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设置：</w:t>
      </w:r>
    </w:p>
    <w:p>
      <w:pPr>
        <w:ind w:firstLine="600" w:firstLineChars="200"/>
        <w:rPr>
          <w:rFonts w:ascii="仿宋" w:hAnsi="仿宋" w:eastAsia="仿宋" w:cs="Arial"/>
          <w:kern w:val="0"/>
          <w:sz w:val="28"/>
          <w:szCs w:val="28"/>
        </w:rPr>
      </w:pPr>
      <w:r>
        <w:rPr>
          <w:rFonts w:hint="eastAsia" w:ascii="仿宋_GB2312" w:hAnsi="仿宋" w:eastAsia="仿宋_GB2312"/>
          <w:sz w:val="30"/>
          <w:szCs w:val="30"/>
        </w:rPr>
        <w:t xml:space="preserve">    </w:t>
      </w:r>
      <w:r>
        <w:rPr>
          <w:rFonts w:ascii="仿宋_GB2312" w:hAnsi="仿宋" w:eastAsia="仿宋_GB2312"/>
          <w:position w:val="-62"/>
          <w:sz w:val="30"/>
          <w:szCs w:val="30"/>
        </w:rPr>
        <w:object>
          <v:shape id="_x0000_i1036" o:spt="75" type="#_x0000_t75" style="height:78pt;width:63.75pt;" o:ole="t" filled="f" o:preferrelative="t" stroked="f" coordsize="21600,21600">
            <v:path/>
            <v:fill on="f" focussize="0,0"/>
            <v:stroke on="f" joinstyle="miter"/>
            <v:imagedata r:id="rId29" o:title=""/>
            <o:lock v:ext="edit" aspectratio="t"/>
            <w10:wrap type="none"/>
            <w10:anchorlock/>
          </v:shape>
          <o:OLEObject Type="Embed" ProgID="Equations" ShapeID="_x0000_i1036" DrawAspect="Content" ObjectID="_1468075736" r:id="rId28">
            <o:LockedField>false</o:LockedField>
          </o:OLEObject>
        </w:object>
      </w:r>
    </w:p>
    <w:p>
      <w:pPr>
        <w:spacing w:line="360" w:lineRule="auto"/>
        <w:ind w:firstLine="560" w:firstLineChars="200"/>
        <w:outlineLvl w:val="0"/>
        <w:rPr>
          <w:rFonts w:ascii="仿宋" w:hAnsi="仿宋" w:eastAsia="仿宋"/>
          <w:sz w:val="28"/>
          <w:szCs w:val="28"/>
        </w:rPr>
      </w:pPr>
      <w:r>
        <w:rPr>
          <w:rFonts w:hint="eastAsia" w:ascii="仿宋" w:hAnsi="仿宋" w:eastAsia="仿宋"/>
          <w:sz w:val="28"/>
          <w:szCs w:val="28"/>
        </w:rPr>
        <w:t>（二）评分方法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1.裁判员选聘：建立职业院校技能大赛赛项裁判库。由竞赛组委会在赛项裁判库中抽取赛项裁判人员。裁判长1名，加密裁判2名，现场裁判数量根据参赛队伍数量确定。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2.评分方法：</w:t>
      </w:r>
      <w:r>
        <w:rPr>
          <w:rFonts w:hint="eastAsia" w:ascii="仿宋" w:hAnsi="仿宋" w:eastAsia="仿宋" w:cs="Arial"/>
          <w:sz w:val="28"/>
          <w:szCs w:val="28"/>
        </w:rPr>
        <w:t>外贸</w:t>
      </w:r>
      <w:r>
        <w:rPr>
          <w:rFonts w:hint="eastAsia" w:ascii="仿宋" w:hAnsi="仿宋" w:eastAsia="仿宋"/>
          <w:sz w:val="28"/>
          <w:szCs w:val="28"/>
        </w:rPr>
        <w:t>B2B模块、</w:t>
      </w:r>
      <w:r>
        <w:rPr>
          <w:rFonts w:hint="eastAsia" w:ascii="仿宋" w:hAnsi="仿宋" w:eastAsia="仿宋" w:cs="Arial"/>
          <w:sz w:val="28"/>
          <w:szCs w:val="28"/>
        </w:rPr>
        <w:t>外贸</w:t>
      </w:r>
      <w:r>
        <w:rPr>
          <w:rFonts w:hint="eastAsia" w:ascii="仿宋" w:hAnsi="仿宋" w:eastAsia="仿宋"/>
          <w:sz w:val="28"/>
          <w:szCs w:val="28"/>
        </w:rPr>
        <w:t>B2C模块竞赛均为机考评分。记分员负责在监督人员监督下完成统分工作，统分表需由记分员、监督员、裁判长共同签字确认。统分后，记分员负责在监督人员监督下完成汇总计分工作，汇总计分表。成绩汇总结束后，由加密裁判对汇总成绩进行还原，形成竞赛队最终成绩单。在正式公布比赛成绩之前，任何人员不得随意泄露评分结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参赛队竞赛总分计算公式：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参赛队的竞赛总分=</w:t>
      </w:r>
      <w:r>
        <w:rPr>
          <w:rFonts w:hint="eastAsia" w:ascii="仿宋" w:hAnsi="仿宋" w:eastAsia="仿宋" w:cs="Arial"/>
          <w:sz w:val="28"/>
          <w:szCs w:val="28"/>
        </w:rPr>
        <w:t>外贸</w:t>
      </w:r>
      <w:r>
        <w:rPr>
          <w:rFonts w:hint="eastAsia" w:ascii="仿宋" w:hAnsi="仿宋" w:eastAsia="仿宋"/>
          <w:sz w:val="28"/>
          <w:szCs w:val="28"/>
        </w:rPr>
        <w:t>B2B模块得分×50%+</w:t>
      </w:r>
      <w:r>
        <w:rPr>
          <w:rFonts w:hint="eastAsia" w:ascii="仿宋" w:hAnsi="仿宋" w:eastAsia="仿宋" w:cs="Arial"/>
          <w:sz w:val="28"/>
          <w:szCs w:val="28"/>
        </w:rPr>
        <w:t>外贸</w:t>
      </w:r>
      <w:r>
        <w:rPr>
          <w:rFonts w:hint="eastAsia" w:ascii="仿宋" w:hAnsi="仿宋" w:eastAsia="仿宋"/>
          <w:sz w:val="28"/>
          <w:szCs w:val="28"/>
        </w:rPr>
        <w:t>B2C模块得分×50%</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注：参赛队的竞赛总分四舍五入保留两位小数。</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参赛队各模块得分公式如下：</w:t>
      </w:r>
    </w:p>
    <w:p>
      <w:pPr>
        <w:spacing w:line="360" w:lineRule="auto"/>
        <w:ind w:firstLine="560" w:firstLineChars="200"/>
        <w:rPr>
          <w:rFonts w:ascii="仿宋" w:hAnsi="仿宋" w:eastAsia="仿宋"/>
          <w:sz w:val="28"/>
          <w:szCs w:val="28"/>
        </w:rPr>
      </w:pPr>
      <w:r>
        <w:rPr>
          <w:rFonts w:hint="eastAsia" w:ascii="仿宋" w:hAnsi="仿宋" w:eastAsia="仿宋" w:cs="Arial"/>
          <w:sz w:val="28"/>
          <w:szCs w:val="28"/>
        </w:rPr>
        <w:t>外贸</w:t>
      </w:r>
      <w:r>
        <w:rPr>
          <w:rFonts w:hint="eastAsia" w:ascii="仿宋" w:hAnsi="仿宋" w:eastAsia="仿宋"/>
          <w:sz w:val="28"/>
          <w:szCs w:val="28"/>
        </w:rPr>
        <w:t>B2B模块得分=参赛队2组选手得分的平均分（四舍五入保留两位小数）</w:t>
      </w:r>
    </w:p>
    <w:p>
      <w:pPr>
        <w:spacing w:line="360" w:lineRule="auto"/>
        <w:ind w:firstLine="560" w:firstLineChars="200"/>
        <w:rPr>
          <w:rFonts w:ascii="仿宋" w:hAnsi="仿宋" w:eastAsia="仿宋"/>
          <w:sz w:val="28"/>
          <w:szCs w:val="28"/>
        </w:rPr>
      </w:pPr>
      <w:r>
        <w:rPr>
          <w:rFonts w:hint="eastAsia" w:ascii="仿宋" w:hAnsi="仿宋" w:eastAsia="仿宋" w:cs="Arial"/>
          <w:sz w:val="28"/>
          <w:szCs w:val="28"/>
        </w:rPr>
        <w:t>外贸</w:t>
      </w:r>
      <w:r>
        <w:rPr>
          <w:rFonts w:hint="eastAsia" w:ascii="仿宋" w:hAnsi="仿宋" w:eastAsia="仿宋"/>
          <w:sz w:val="28"/>
          <w:szCs w:val="28"/>
        </w:rPr>
        <w:t>B2C模块得分=参赛队2组选手得分的平均分（四舍五入保留两位小数）</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成绩复核：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4.赛项最终得分按100分制计分。赛项最终成绩复核后经裁判长、监督组签字后进行公示。公示时间为1小时。成绩公示无异议后，由仲裁长和监督组长在成绩单上签字，并在闭赛式上公布竞赛成绩。</w:t>
      </w:r>
    </w:p>
    <w:p>
      <w:pPr>
        <w:outlineLvl w:val="0"/>
        <w:rPr>
          <w:rFonts w:ascii="仿宋" w:hAnsi="仿宋" w:eastAsia="仿宋"/>
          <w:b/>
          <w:bCs/>
          <w:sz w:val="28"/>
          <w:szCs w:val="28"/>
        </w:rPr>
      </w:pPr>
      <w:bookmarkStart w:id="10" w:name="_Toc61004421"/>
      <w:r>
        <w:rPr>
          <w:rFonts w:hint="eastAsia" w:ascii="仿宋" w:hAnsi="仿宋" w:eastAsia="仿宋"/>
          <w:b/>
          <w:sz w:val="28"/>
          <w:szCs w:val="28"/>
        </w:rPr>
        <w:t>十一、奖项设置</w:t>
      </w:r>
      <w:bookmarkEnd w:id="10"/>
    </w:p>
    <w:p>
      <w:pPr>
        <w:spacing w:line="360" w:lineRule="auto"/>
        <w:ind w:firstLine="560" w:firstLineChars="200"/>
        <w:rPr>
          <w:rFonts w:ascii="仿宋" w:hAnsi="仿宋" w:eastAsia="仿宋"/>
          <w:sz w:val="28"/>
          <w:szCs w:val="28"/>
        </w:rPr>
      </w:pPr>
      <w:r>
        <w:rPr>
          <w:rFonts w:hint="eastAsia" w:ascii="仿宋" w:hAnsi="仿宋" w:eastAsia="仿宋"/>
          <w:sz w:val="28"/>
          <w:szCs w:val="28"/>
        </w:rPr>
        <w:t>本赛项奖项设团体奖。以赛项实际参赛队总数为基数，一、二、三等奖获奖比例分别为10%、20%、30%（小数点后四舍五入）。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获得一等奖的参赛队指导教师由组委会颁发优秀指导教师证书。</w:t>
      </w:r>
    </w:p>
    <w:p>
      <w:pPr>
        <w:outlineLvl w:val="0"/>
        <w:rPr>
          <w:rFonts w:ascii="仿宋" w:hAnsi="仿宋" w:eastAsia="仿宋"/>
          <w:b/>
          <w:sz w:val="28"/>
          <w:szCs w:val="28"/>
        </w:rPr>
      </w:pPr>
      <w:bookmarkStart w:id="11" w:name="_Toc61004422"/>
      <w:r>
        <w:rPr>
          <w:rFonts w:hint="eastAsia" w:ascii="仿宋" w:hAnsi="仿宋" w:eastAsia="仿宋"/>
          <w:b/>
          <w:sz w:val="28"/>
          <w:szCs w:val="28"/>
        </w:rPr>
        <w:t>十二、赛场预案</w:t>
      </w:r>
      <w:bookmarkEnd w:id="11"/>
    </w:p>
    <w:p>
      <w:pPr>
        <w:spacing w:line="360" w:lineRule="auto"/>
        <w:ind w:firstLine="560" w:firstLineChars="200"/>
        <w:rPr>
          <w:rFonts w:ascii="仿宋" w:hAnsi="仿宋" w:eastAsia="仿宋"/>
          <w:sz w:val="28"/>
          <w:szCs w:val="28"/>
        </w:rPr>
      </w:pPr>
      <w:r>
        <w:rPr>
          <w:rFonts w:hint="eastAsia" w:ascii="仿宋" w:hAnsi="仿宋" w:eastAsia="仿宋"/>
          <w:sz w:val="28"/>
          <w:szCs w:val="28"/>
        </w:rPr>
        <w:t>针对竞赛过程中可能出现的不可控因素，制定以下预案。如竞赛场地电脑出现故障，遵循以下处理办法和程序。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参赛选手举手示意裁判员，经裁判员/技术人员确认非人为因素造成故障，予以启用备用电脑（如需将原电脑中的文件转移至备用电脑上，需由裁判员/技术人员负责处理，如果文件不能恢复，视为不可抗力因素），继续完成答题，裁判员应安抚学生情绪并做好情况记录工作。</w:t>
      </w:r>
    </w:p>
    <w:p>
      <w:pPr>
        <w:outlineLvl w:val="0"/>
        <w:rPr>
          <w:rFonts w:ascii="仿宋" w:hAnsi="仿宋" w:eastAsia="仿宋"/>
          <w:b/>
          <w:sz w:val="28"/>
          <w:szCs w:val="28"/>
        </w:rPr>
      </w:pPr>
      <w:bookmarkStart w:id="12" w:name="_Toc61004423"/>
      <w:r>
        <w:rPr>
          <w:rFonts w:hint="eastAsia" w:ascii="仿宋" w:hAnsi="仿宋" w:eastAsia="仿宋"/>
          <w:b/>
          <w:sz w:val="28"/>
          <w:szCs w:val="28"/>
        </w:rPr>
        <w:t>十三、赛项安全</w:t>
      </w:r>
      <w:bookmarkEnd w:id="12"/>
    </w:p>
    <w:p>
      <w:pPr>
        <w:spacing w:line="360" w:lineRule="auto"/>
        <w:ind w:firstLine="560" w:firstLineChars="200"/>
        <w:rPr>
          <w:rFonts w:ascii="仿宋" w:hAnsi="仿宋" w:eastAsia="仿宋"/>
          <w:sz w:val="28"/>
          <w:szCs w:val="28"/>
        </w:rPr>
      </w:pPr>
      <w:r>
        <w:rPr>
          <w:rFonts w:hint="eastAsia" w:ascii="仿宋" w:hAnsi="仿宋" w:eastAsia="仿宋"/>
          <w:sz w:val="28"/>
          <w:szCs w:val="28"/>
        </w:rPr>
        <w:t>赛事安全是技能竞赛一切工作顺利开展的先决条件，是赛事筹备和运行工作必须考虑的核心问题。赛项组委会采取切实有效措施保证大赛期间参赛选手、指导教师、工作人员及观众的人身安全。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（一）比赛环境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组委会须在赛前组织专人对防疫工作、比赛现场、住宿场所和交通保障进行考察，并对疫情防控及安全工作提出明确要求。赛场的布置，赛场内的器材、设备，应符合国家防疫要求及有关安全规定。如有必要，也可进行赛场仿真模拟测试，以发现可能出现的问题。承办单位赛前须按照组委会要求排除安全隐患。</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2.赛场周围要设立警戒线，防止无关人员进入发生意外事件。比赛现场内应参照相关职业岗位的要求为选手提供必要的劳动保护。在具有危险性的操作环节，裁判员要严防选手出现错误操作。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3.承办单位应提供保证应急预案实施的条件。对于比赛内容涉及高空作业、可能有坠物、大用电量、易发生火灾等情况的赛项，必须明确制度和预案，并配备急救人员与设施。</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组委会须会同承办单位制定开放赛场和体验区的防疫工作及人员疏导方案。赛场环境中存在人员密集的区域，要提前做好体温检测工作，并佩戴口罩。另外还须设置齐全的指示标志，增加引导人员，并开辟备用通道。</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5.大赛期间，承办单位须在赛场管理的关键岗位，增加力量，建立安全管理日志。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参赛选手进入赛位，赛事裁判及工作人员进入竞赛场所，严禁携带通讯、照相摄录设备，禁止携带记录用具。如确有需要，由赛场统一配置、统一管理。赛项可根据需要配置安检设备对进入赛场重要部位的人员进行安检。</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（二）生活条件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1.比赛期间，原则上由组委会统一安排参赛选手和指导教师食宿。承办单位须尊重少数民族的信仰及文化，根据国家相关的民族政策，安排好少数民族选手和教师的饮食起居。</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2.比赛期间安排的住宿地应具有宾馆/住宿经营许可资质。以学校宿舍作为住宿地的，大赛期间的住宿、卫生、饮食安全等由组委会和提供宿舍的学校共同负责。</w:t>
      </w:r>
    </w:p>
    <w:p>
      <w:pPr>
        <w:spacing w:line="360" w:lineRule="auto"/>
        <w:ind w:firstLine="560" w:firstLineChars="200"/>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.各赛项的安全管理，除了可以采取必要的安全隔离措施外，应严格遵守国家相关法律法规，保护个人隐私和人身自由。</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（三）组队责任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1.各学校组织代表队时，须安排为参赛选手购买大赛期间的人身意外伤害保险。</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2.各学校代表队组成后，须制定相关管理制度，并对所有选手、指导教师进行安全教育。</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3.各参赛队伍须加强对参与比赛人员的安全管理，实现与赛场安全管理的对接。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（四）应急处理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比赛期间发生意外事故，发现者应第一时间报告赛项组委会，同时采取措施避免事态扩大。赛项组委会应立即启动预案予以解决并上报上级主管机构。赛项出现重大安全问题可以停赛，是否停赛由赛项组委会决定。事后，赛项组委会应向上级主管机构报告详细情况。</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（五）处罚措施</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1.因参赛队伍原因造成重大安全事故的，取消其获奖资格。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2.参赛队伍有发生重大安全事故隐患，经赛场工作人员提示、警告无效的，可取消其继续比赛的资格。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3.赛事工作人员违规的，按照相应的制度追究责任。情节恶劣并造成重大安全事故的，由司法机关追究相应法律责任。</w:t>
      </w:r>
    </w:p>
    <w:p>
      <w:pPr>
        <w:outlineLvl w:val="0"/>
        <w:rPr>
          <w:rFonts w:ascii="仿宋" w:hAnsi="仿宋" w:eastAsia="仿宋"/>
          <w:b/>
          <w:sz w:val="28"/>
          <w:szCs w:val="28"/>
        </w:rPr>
      </w:pPr>
      <w:bookmarkStart w:id="13" w:name="_Toc61004424"/>
      <w:r>
        <w:rPr>
          <w:rFonts w:hint="eastAsia" w:ascii="仿宋" w:hAnsi="仿宋" w:eastAsia="仿宋"/>
          <w:b/>
          <w:sz w:val="28"/>
          <w:szCs w:val="28"/>
        </w:rPr>
        <w:t>十四、竞赛须知</w:t>
      </w:r>
      <w:bookmarkEnd w:id="13"/>
    </w:p>
    <w:p>
      <w:pPr>
        <w:ind w:firstLine="560" w:firstLineChars="200"/>
        <w:rPr>
          <w:rFonts w:ascii="仿宋" w:hAnsi="仿宋" w:eastAsia="仿宋"/>
          <w:sz w:val="28"/>
          <w:szCs w:val="28"/>
        </w:rPr>
      </w:pPr>
      <w:r>
        <w:rPr>
          <w:rFonts w:hint="eastAsia" w:ascii="仿宋" w:hAnsi="仿宋" w:eastAsia="仿宋"/>
          <w:sz w:val="28"/>
          <w:szCs w:val="28"/>
        </w:rPr>
        <w:t>（一）参赛队须知</w:t>
      </w:r>
    </w:p>
    <w:p>
      <w:pPr>
        <w:ind w:firstLine="560" w:firstLineChars="200"/>
        <w:rPr>
          <w:rFonts w:ascii="仿宋" w:hAnsi="仿宋" w:eastAsia="仿宋"/>
          <w:sz w:val="28"/>
          <w:szCs w:val="28"/>
        </w:rPr>
      </w:pPr>
      <w:r>
        <w:rPr>
          <w:rFonts w:hint="eastAsia" w:ascii="仿宋" w:hAnsi="仿宋" w:eastAsia="仿宋"/>
          <w:sz w:val="28"/>
          <w:szCs w:val="28"/>
        </w:rPr>
        <w:t>1.参赛队名称统一使用学校名称；不接受跨校组队报名。</w:t>
      </w:r>
    </w:p>
    <w:p>
      <w:pPr>
        <w:ind w:firstLine="560" w:firstLineChars="200"/>
        <w:rPr>
          <w:rFonts w:ascii="仿宋" w:hAnsi="仿宋" w:eastAsia="仿宋"/>
          <w:sz w:val="28"/>
          <w:szCs w:val="28"/>
        </w:rPr>
      </w:pPr>
      <w:r>
        <w:rPr>
          <w:rFonts w:hint="eastAsia" w:ascii="仿宋" w:hAnsi="仿宋" w:eastAsia="仿宋"/>
          <w:sz w:val="28"/>
          <w:szCs w:val="28"/>
        </w:rPr>
        <w:t>2.参赛队员在报名获得审核确认后，原则上不再更换，如筹备过程中，队员因故不能参赛，须由学校行政部门于相应赛项开赛5个工作日之前出具书面说明，经大赛组委会办公室核实后予以更换；竞赛开始后，参赛队不得更换参赛队员，允许队员缺席比赛。</w:t>
      </w:r>
    </w:p>
    <w:p>
      <w:pPr>
        <w:ind w:firstLine="560" w:firstLineChars="200"/>
        <w:rPr>
          <w:rFonts w:ascii="仿宋" w:hAnsi="仿宋" w:eastAsia="仿宋"/>
          <w:sz w:val="28"/>
          <w:szCs w:val="28"/>
        </w:rPr>
      </w:pPr>
      <w:r>
        <w:rPr>
          <w:rFonts w:hint="eastAsia" w:ascii="仿宋" w:hAnsi="仿宋" w:eastAsia="仿宋"/>
          <w:sz w:val="28"/>
          <w:szCs w:val="28"/>
        </w:rPr>
        <w:t>3.参赛队按照大赛赛程安排，凭大赛组委会颁发的参赛证和有效身份证件参加比赛及相关活动。</w:t>
      </w:r>
    </w:p>
    <w:p>
      <w:pPr>
        <w:ind w:firstLine="560" w:firstLineChars="200"/>
        <w:rPr>
          <w:rFonts w:ascii="仿宋" w:hAnsi="仿宋" w:eastAsia="仿宋"/>
          <w:sz w:val="28"/>
          <w:szCs w:val="28"/>
        </w:rPr>
      </w:pPr>
      <w:r>
        <w:rPr>
          <w:rFonts w:hint="eastAsia" w:ascii="仿宋" w:hAnsi="仿宋" w:eastAsia="仿宋"/>
          <w:sz w:val="28"/>
          <w:szCs w:val="28"/>
        </w:rPr>
        <w:t>4.参赛队员需要购买保险。</w:t>
      </w:r>
    </w:p>
    <w:p>
      <w:pPr>
        <w:ind w:firstLine="560" w:firstLineChars="200"/>
        <w:rPr>
          <w:rFonts w:ascii="仿宋" w:hAnsi="仿宋" w:eastAsia="仿宋"/>
          <w:sz w:val="28"/>
          <w:szCs w:val="28"/>
        </w:rPr>
      </w:pPr>
      <w:r>
        <w:rPr>
          <w:rFonts w:hint="eastAsia" w:ascii="仿宋" w:hAnsi="仿宋" w:eastAsia="仿宋"/>
          <w:sz w:val="28"/>
          <w:szCs w:val="28"/>
        </w:rPr>
        <w:t>（二）指导教师须知</w:t>
      </w:r>
    </w:p>
    <w:p>
      <w:pPr>
        <w:ind w:firstLine="560" w:firstLineChars="200"/>
        <w:rPr>
          <w:rFonts w:ascii="仿宋" w:hAnsi="仿宋" w:eastAsia="仿宋"/>
          <w:sz w:val="28"/>
          <w:szCs w:val="28"/>
        </w:rPr>
      </w:pPr>
      <w:r>
        <w:rPr>
          <w:rFonts w:hint="eastAsia" w:ascii="仿宋" w:hAnsi="仿宋" w:eastAsia="仿宋"/>
          <w:sz w:val="28"/>
          <w:szCs w:val="28"/>
        </w:rPr>
        <w:t>1.各参赛代表队要发扬良好道德风尚，听从指挥，服从裁判，不弄虚作假。如发现弄虚作假者，取消参赛资格，名次无效。</w:t>
      </w:r>
    </w:p>
    <w:p>
      <w:pPr>
        <w:ind w:firstLine="560" w:firstLineChars="200"/>
        <w:rPr>
          <w:rFonts w:ascii="仿宋" w:hAnsi="仿宋" w:eastAsia="仿宋"/>
          <w:sz w:val="28"/>
          <w:szCs w:val="28"/>
        </w:rPr>
      </w:pPr>
      <w:r>
        <w:rPr>
          <w:rFonts w:hint="eastAsia" w:ascii="仿宋" w:hAnsi="仿宋" w:eastAsia="仿宋"/>
          <w:sz w:val="28"/>
          <w:szCs w:val="28"/>
        </w:rPr>
        <w:t>2.各代表队领队要坚决执行竞赛的各项规定，加强对参赛人员的管理，做好赛前准备工作，督促选手带好证件等竞赛相关材料。</w:t>
      </w:r>
    </w:p>
    <w:p>
      <w:pPr>
        <w:ind w:firstLine="560" w:firstLineChars="200"/>
        <w:rPr>
          <w:rFonts w:ascii="仿宋" w:hAnsi="仿宋" w:eastAsia="仿宋"/>
          <w:sz w:val="28"/>
          <w:szCs w:val="28"/>
        </w:rPr>
      </w:pPr>
      <w:r>
        <w:rPr>
          <w:rFonts w:hint="eastAsia" w:ascii="仿宋" w:hAnsi="仿宋" w:eastAsia="仿宋"/>
          <w:sz w:val="28"/>
          <w:szCs w:val="28"/>
        </w:rPr>
        <w:t>3.竞赛过程中，除参加当场次竞赛的选手、执行裁判员、现场工作人员和经批准的人员外，领队、指导教师及其他人员一律不得进入竞赛场地。</w:t>
      </w:r>
    </w:p>
    <w:p>
      <w:pPr>
        <w:ind w:firstLine="560" w:firstLineChars="200"/>
        <w:rPr>
          <w:rFonts w:ascii="仿宋" w:hAnsi="仿宋" w:eastAsia="仿宋"/>
          <w:sz w:val="28"/>
          <w:szCs w:val="28"/>
        </w:rPr>
      </w:pPr>
      <w:r>
        <w:rPr>
          <w:rFonts w:hint="eastAsia" w:ascii="仿宋" w:hAnsi="仿宋" w:eastAsia="仿宋"/>
          <w:sz w:val="28"/>
          <w:szCs w:val="28"/>
        </w:rPr>
        <w:t>4.参赛代表队若对竞赛过程有异议，在规定的时间内由领队向赛项仲裁工作组提出书面报告。</w:t>
      </w:r>
    </w:p>
    <w:p>
      <w:pPr>
        <w:ind w:firstLine="560" w:firstLineChars="200"/>
        <w:rPr>
          <w:rFonts w:ascii="仿宋" w:hAnsi="仿宋" w:eastAsia="仿宋"/>
          <w:sz w:val="28"/>
          <w:szCs w:val="28"/>
        </w:rPr>
      </w:pPr>
      <w:r>
        <w:rPr>
          <w:rFonts w:hint="eastAsia" w:ascii="仿宋" w:hAnsi="仿宋" w:eastAsia="仿宋"/>
          <w:sz w:val="28"/>
          <w:szCs w:val="28"/>
        </w:rPr>
        <w:t>5.对申诉的仲裁结果，领队要带头服从和执行，并做好选手工作。参赛选手不得因申诉或对处理意见不服而停止竞赛，否则以弃权处理。</w:t>
      </w:r>
    </w:p>
    <w:p>
      <w:pPr>
        <w:ind w:firstLine="560" w:firstLineChars="200"/>
        <w:rPr>
          <w:rFonts w:ascii="仿宋" w:hAnsi="仿宋" w:eastAsia="仿宋"/>
          <w:sz w:val="28"/>
          <w:szCs w:val="28"/>
        </w:rPr>
      </w:pPr>
      <w:r>
        <w:rPr>
          <w:rFonts w:hint="eastAsia" w:ascii="仿宋" w:hAnsi="仿宋" w:eastAsia="仿宋"/>
          <w:sz w:val="28"/>
          <w:szCs w:val="28"/>
        </w:rPr>
        <w:t>6.指导老师应及时查看有关赛项的通知和内容，认真研究和掌握本赛项竞赛的规程、技术规范和赛场要求，指导选手做好赛前的一切技术准备和竞赛准备。</w:t>
      </w:r>
    </w:p>
    <w:p>
      <w:pPr>
        <w:ind w:firstLine="560" w:firstLineChars="200"/>
        <w:rPr>
          <w:rFonts w:ascii="仿宋" w:hAnsi="仿宋" w:eastAsia="仿宋"/>
          <w:sz w:val="28"/>
          <w:szCs w:val="28"/>
        </w:rPr>
      </w:pPr>
      <w:r>
        <w:rPr>
          <w:rFonts w:hint="eastAsia" w:ascii="仿宋" w:hAnsi="仿宋" w:eastAsia="仿宋"/>
          <w:sz w:val="28"/>
          <w:szCs w:val="28"/>
        </w:rPr>
        <w:t>（三）参赛选手须知</w:t>
      </w:r>
    </w:p>
    <w:p>
      <w:pPr>
        <w:ind w:firstLine="560" w:firstLineChars="200"/>
        <w:rPr>
          <w:rFonts w:ascii="仿宋" w:hAnsi="仿宋" w:eastAsia="仿宋"/>
          <w:sz w:val="28"/>
          <w:szCs w:val="28"/>
        </w:rPr>
      </w:pPr>
      <w:r>
        <w:rPr>
          <w:rFonts w:hint="eastAsia" w:ascii="仿宋" w:hAnsi="仿宋" w:eastAsia="仿宋"/>
          <w:sz w:val="28"/>
          <w:szCs w:val="28"/>
        </w:rPr>
        <w:t>1.参赛选手应按有关要求如实填报个人信息，否则取消竞赛资格。</w:t>
      </w:r>
    </w:p>
    <w:p>
      <w:pPr>
        <w:ind w:firstLine="560" w:firstLineChars="200"/>
        <w:rPr>
          <w:rFonts w:ascii="仿宋" w:hAnsi="仿宋" w:eastAsia="仿宋"/>
          <w:sz w:val="28"/>
          <w:szCs w:val="28"/>
        </w:rPr>
      </w:pPr>
      <w:r>
        <w:rPr>
          <w:rFonts w:hint="eastAsia" w:ascii="仿宋" w:hAnsi="仿宋" w:eastAsia="仿宋"/>
          <w:sz w:val="28"/>
          <w:szCs w:val="28"/>
        </w:rPr>
        <w:t>2.参赛选手凭统一印制的参赛证和有效身份证件参加竞赛。</w:t>
      </w:r>
    </w:p>
    <w:p>
      <w:pPr>
        <w:ind w:firstLine="560" w:firstLineChars="200"/>
        <w:rPr>
          <w:rFonts w:ascii="仿宋" w:hAnsi="仿宋" w:eastAsia="仿宋"/>
          <w:sz w:val="28"/>
          <w:szCs w:val="28"/>
        </w:rPr>
      </w:pPr>
      <w:r>
        <w:rPr>
          <w:rFonts w:hint="eastAsia" w:ascii="仿宋" w:hAnsi="仿宋" w:eastAsia="仿宋"/>
          <w:sz w:val="28"/>
          <w:szCs w:val="28"/>
        </w:rPr>
        <w:t>3.参赛选手应认真学习领会本次竞赛相关文件，自觉遵守大赛纪律，服从指挥，听从安排，文明参赛。</w:t>
      </w:r>
    </w:p>
    <w:p>
      <w:pPr>
        <w:ind w:firstLine="560" w:firstLineChars="200"/>
        <w:rPr>
          <w:rFonts w:ascii="仿宋" w:hAnsi="仿宋" w:eastAsia="仿宋"/>
          <w:sz w:val="28"/>
          <w:szCs w:val="28"/>
        </w:rPr>
      </w:pPr>
      <w:r>
        <w:rPr>
          <w:rFonts w:hint="eastAsia" w:ascii="仿宋" w:hAnsi="仿宋" w:eastAsia="仿宋"/>
          <w:sz w:val="28"/>
          <w:szCs w:val="28"/>
        </w:rPr>
        <w:t>4.参赛选手请勿携带与竞赛无关的电子设备、通讯设备及其他资料与用品。</w:t>
      </w:r>
    </w:p>
    <w:p>
      <w:pPr>
        <w:ind w:firstLine="560" w:firstLineChars="200"/>
        <w:rPr>
          <w:rFonts w:ascii="仿宋" w:hAnsi="仿宋" w:eastAsia="仿宋"/>
          <w:sz w:val="28"/>
          <w:szCs w:val="28"/>
        </w:rPr>
      </w:pPr>
      <w:r>
        <w:rPr>
          <w:rFonts w:hint="eastAsia" w:ascii="仿宋" w:hAnsi="仿宋" w:eastAsia="仿宋"/>
          <w:sz w:val="28"/>
          <w:szCs w:val="28"/>
        </w:rPr>
        <w:t>5．参赛选手应提前15分钟抵达赛场，凭参赛证、身份证件检录，按要求入场，不得迟到早退。</w:t>
      </w:r>
    </w:p>
    <w:p>
      <w:pPr>
        <w:ind w:firstLine="560" w:firstLineChars="200"/>
        <w:rPr>
          <w:rFonts w:ascii="仿宋" w:hAnsi="仿宋" w:eastAsia="仿宋"/>
          <w:sz w:val="28"/>
          <w:szCs w:val="28"/>
        </w:rPr>
      </w:pPr>
      <w:r>
        <w:rPr>
          <w:rFonts w:hint="eastAsia" w:ascii="仿宋" w:hAnsi="仿宋" w:eastAsia="仿宋"/>
          <w:sz w:val="28"/>
          <w:szCs w:val="28"/>
        </w:rPr>
        <w:t>6.参赛选手应按抽签结果在指定位置就座。</w:t>
      </w:r>
    </w:p>
    <w:p>
      <w:pPr>
        <w:ind w:firstLine="560" w:firstLineChars="200"/>
        <w:rPr>
          <w:rFonts w:ascii="仿宋" w:hAnsi="仿宋" w:eastAsia="仿宋"/>
          <w:sz w:val="28"/>
          <w:szCs w:val="28"/>
        </w:rPr>
      </w:pPr>
      <w:r>
        <w:rPr>
          <w:rFonts w:hint="eastAsia" w:ascii="仿宋" w:hAnsi="仿宋" w:eastAsia="仿宋"/>
          <w:sz w:val="28"/>
          <w:szCs w:val="28"/>
        </w:rPr>
        <w:t>7.参赛选手须在确认竞赛内容和现场设备等无误后开始竞赛。在竞赛过程中，如有疑问，参赛选手应持“咨询”示意牌示意，项目裁判长应按照有关要求及时予以答疑。如遇设备或软件等故障，参赛选手应持“故障”示意牌示意。项目裁判长、技术人员等应及时予以解决。确因计算机软件或硬件故障，致使操作无法继续的，经项目裁判长确认，予以启用备用计算机。如遇身体不适，参赛选手应持“医务”示意牌示意，现场医务人员按应急预案救治。</w:t>
      </w:r>
    </w:p>
    <w:p>
      <w:pPr>
        <w:ind w:firstLine="560" w:firstLineChars="200"/>
        <w:rPr>
          <w:rFonts w:ascii="仿宋" w:hAnsi="仿宋" w:eastAsia="仿宋"/>
          <w:sz w:val="28"/>
          <w:szCs w:val="28"/>
        </w:rPr>
      </w:pPr>
      <w:r>
        <w:rPr>
          <w:rFonts w:hint="eastAsia" w:ascii="仿宋" w:hAnsi="仿宋" w:eastAsia="仿宋"/>
          <w:sz w:val="28"/>
          <w:szCs w:val="28"/>
        </w:rPr>
        <w:t>8.各参赛选手必须按规范要求操作竞赛设备。一旦出现较严重的安全事故，经裁判长批准后将立即取消其参赛资格。</w:t>
      </w:r>
    </w:p>
    <w:p>
      <w:pPr>
        <w:ind w:firstLine="560" w:firstLineChars="200"/>
        <w:rPr>
          <w:rFonts w:ascii="仿宋" w:hAnsi="仿宋" w:eastAsia="仿宋"/>
          <w:sz w:val="28"/>
          <w:szCs w:val="28"/>
        </w:rPr>
      </w:pPr>
      <w:r>
        <w:rPr>
          <w:rFonts w:hint="eastAsia" w:ascii="仿宋" w:hAnsi="仿宋" w:eastAsia="仿宋"/>
          <w:sz w:val="28"/>
          <w:szCs w:val="28"/>
        </w:rPr>
        <w:t>9.竞赛时间终了，选手应全体起立，结束操作。</w:t>
      </w:r>
    </w:p>
    <w:p>
      <w:pPr>
        <w:ind w:firstLine="560" w:firstLineChars="200"/>
        <w:rPr>
          <w:rFonts w:ascii="仿宋" w:hAnsi="仿宋" w:eastAsia="仿宋"/>
          <w:sz w:val="28"/>
          <w:szCs w:val="28"/>
        </w:rPr>
      </w:pPr>
      <w:r>
        <w:rPr>
          <w:rFonts w:hint="eastAsia" w:ascii="仿宋" w:hAnsi="仿宋" w:eastAsia="仿宋"/>
          <w:sz w:val="28"/>
          <w:szCs w:val="28"/>
        </w:rPr>
        <w:t>10.在竞赛期间，未经执委会的批准，参赛选手不得接受其他单位和个人进行的与竞赛内容相关的采访。参赛选手不得将竞赛的相关信息私自公布。</w:t>
      </w:r>
    </w:p>
    <w:p>
      <w:pPr>
        <w:ind w:firstLine="560" w:firstLineChars="200"/>
        <w:rPr>
          <w:rFonts w:ascii="仿宋" w:hAnsi="仿宋" w:eastAsia="仿宋"/>
          <w:sz w:val="28"/>
          <w:szCs w:val="28"/>
        </w:rPr>
      </w:pPr>
      <w:r>
        <w:rPr>
          <w:rFonts w:hint="eastAsia" w:ascii="仿宋" w:hAnsi="仿宋" w:eastAsia="仿宋"/>
          <w:sz w:val="28"/>
          <w:szCs w:val="28"/>
        </w:rPr>
        <w:t>（四）工作人员须知</w:t>
      </w:r>
    </w:p>
    <w:p>
      <w:pPr>
        <w:ind w:firstLine="560" w:firstLineChars="200"/>
        <w:rPr>
          <w:rFonts w:ascii="仿宋" w:hAnsi="仿宋" w:eastAsia="仿宋"/>
          <w:sz w:val="28"/>
          <w:szCs w:val="28"/>
        </w:rPr>
      </w:pPr>
      <w:r>
        <w:rPr>
          <w:rFonts w:hint="eastAsia" w:ascii="仿宋" w:hAnsi="仿宋" w:eastAsia="仿宋"/>
          <w:sz w:val="28"/>
          <w:szCs w:val="28"/>
        </w:rPr>
        <w:t>1.工作人员必须统一佩戴由大赛组委会签发的相应证件，着装整齐。</w:t>
      </w:r>
    </w:p>
    <w:p>
      <w:pPr>
        <w:ind w:firstLine="560" w:firstLineChars="200"/>
        <w:rPr>
          <w:rFonts w:ascii="仿宋" w:hAnsi="仿宋" w:eastAsia="仿宋"/>
          <w:sz w:val="28"/>
          <w:szCs w:val="28"/>
        </w:rPr>
      </w:pPr>
      <w:r>
        <w:rPr>
          <w:rFonts w:hint="eastAsia" w:ascii="仿宋" w:hAnsi="仿宋" w:eastAsia="仿宋"/>
          <w:sz w:val="28"/>
          <w:szCs w:val="28"/>
        </w:rPr>
        <w:t>2.工作人员不得影响参赛选手比赛，不允许有影响比赛公平的行为。</w:t>
      </w:r>
    </w:p>
    <w:p>
      <w:pPr>
        <w:ind w:firstLine="560" w:firstLineChars="200"/>
        <w:rPr>
          <w:rFonts w:ascii="仿宋" w:hAnsi="仿宋" w:eastAsia="仿宋"/>
          <w:sz w:val="28"/>
          <w:szCs w:val="28"/>
        </w:rPr>
      </w:pPr>
      <w:r>
        <w:rPr>
          <w:rFonts w:hint="eastAsia" w:ascii="仿宋" w:hAnsi="仿宋" w:eastAsia="仿宋"/>
          <w:sz w:val="28"/>
          <w:szCs w:val="28"/>
        </w:rPr>
        <w:t>3.服从领导，听从指挥，以高度负责的精神、严肃认真的态度做好各项工作。</w:t>
      </w:r>
    </w:p>
    <w:p>
      <w:pPr>
        <w:ind w:firstLine="560" w:firstLineChars="200"/>
        <w:rPr>
          <w:rFonts w:ascii="仿宋" w:hAnsi="仿宋" w:eastAsia="仿宋"/>
          <w:sz w:val="28"/>
          <w:szCs w:val="28"/>
        </w:rPr>
      </w:pPr>
      <w:r>
        <w:rPr>
          <w:rFonts w:hint="eastAsia" w:ascii="仿宋" w:hAnsi="仿宋" w:eastAsia="仿宋"/>
          <w:sz w:val="28"/>
          <w:szCs w:val="28"/>
        </w:rPr>
        <w:t>4.熟悉比赛规程，认真遵守各项比赛规则和工作要求。</w:t>
      </w:r>
    </w:p>
    <w:p>
      <w:pPr>
        <w:ind w:firstLine="560" w:firstLineChars="200"/>
        <w:rPr>
          <w:rFonts w:ascii="仿宋" w:hAnsi="仿宋" w:eastAsia="仿宋"/>
          <w:sz w:val="28"/>
          <w:szCs w:val="28"/>
        </w:rPr>
      </w:pPr>
      <w:r>
        <w:rPr>
          <w:rFonts w:hint="eastAsia" w:ascii="仿宋" w:hAnsi="仿宋" w:eastAsia="仿宋"/>
          <w:sz w:val="28"/>
          <w:szCs w:val="28"/>
        </w:rPr>
        <w:t>5.坚守岗位，如有急事需要离开岗位时，应经领导同意，并做好工作衔接。</w:t>
      </w:r>
    </w:p>
    <w:p>
      <w:pPr>
        <w:ind w:firstLine="560" w:firstLineChars="200"/>
        <w:rPr>
          <w:rFonts w:ascii="仿宋" w:hAnsi="仿宋" w:eastAsia="仿宋"/>
          <w:sz w:val="28"/>
          <w:szCs w:val="28"/>
        </w:rPr>
      </w:pPr>
      <w:r>
        <w:rPr>
          <w:rFonts w:hint="eastAsia" w:ascii="仿宋" w:hAnsi="仿宋" w:eastAsia="仿宋"/>
          <w:sz w:val="28"/>
          <w:szCs w:val="28"/>
        </w:rPr>
        <w:t>6．严格遵守比赛纪律，如发现其他人员有违反比赛纪律的行为，应予以制止。情节严重的，应向竞赛组委会反映。</w:t>
      </w:r>
    </w:p>
    <w:p>
      <w:pPr>
        <w:ind w:firstLine="560" w:firstLineChars="200"/>
        <w:rPr>
          <w:rFonts w:ascii="仿宋" w:hAnsi="仿宋" w:eastAsia="仿宋"/>
          <w:sz w:val="28"/>
          <w:szCs w:val="28"/>
        </w:rPr>
      </w:pPr>
      <w:r>
        <w:rPr>
          <w:rFonts w:hint="eastAsia" w:ascii="仿宋" w:hAnsi="仿宋" w:eastAsia="仿宋"/>
          <w:sz w:val="28"/>
          <w:szCs w:val="28"/>
        </w:rPr>
        <w:t>7.发扬无私奉献和团结协作的精神，提供热情、优质服务。</w:t>
      </w:r>
    </w:p>
    <w:p>
      <w:pPr>
        <w:outlineLvl w:val="0"/>
        <w:rPr>
          <w:rFonts w:ascii="仿宋" w:hAnsi="仿宋" w:eastAsia="仿宋"/>
          <w:b/>
          <w:sz w:val="28"/>
          <w:szCs w:val="28"/>
        </w:rPr>
      </w:pPr>
      <w:bookmarkStart w:id="14" w:name="_Toc61004425"/>
      <w:r>
        <w:rPr>
          <w:rFonts w:hint="eastAsia" w:ascii="仿宋" w:hAnsi="仿宋" w:eastAsia="仿宋"/>
          <w:b/>
          <w:sz w:val="28"/>
          <w:szCs w:val="28"/>
        </w:rPr>
        <w:t>十五、申诉与仲裁</w:t>
      </w:r>
      <w:bookmarkEnd w:id="14"/>
    </w:p>
    <w:p>
      <w:pPr>
        <w:ind w:firstLine="560" w:firstLineChars="200"/>
        <w:rPr>
          <w:rFonts w:ascii="仿宋" w:hAnsi="仿宋" w:eastAsia="仿宋"/>
          <w:sz w:val="28"/>
          <w:szCs w:val="28"/>
        </w:rPr>
      </w:pPr>
      <w:r>
        <w:rPr>
          <w:rFonts w:hint="eastAsia" w:ascii="仿宋" w:hAnsi="仿宋" w:eastAsia="仿宋"/>
          <w:sz w:val="28"/>
          <w:szCs w:val="28"/>
        </w:rPr>
        <w:t>本赛项在比赛过程中若出现有失公正或有关人员违规等现象，代表队领队可在比赛结束后1小时之内向仲裁组提出书面申诉。赛项仲裁工作组在接到申诉后的2小时内组织复议，并及时反馈复议结果。赛项仲裁工作组的仲裁结果为最终结果。</w:t>
      </w:r>
    </w:p>
    <w:p>
      <w:pPr>
        <w:rPr>
          <w:rFonts w:ascii="仿宋" w:hAnsi="仿宋" w:eastAsia="仿宋"/>
          <w:sz w:val="28"/>
          <w:szCs w:val="28"/>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outlineLvl w:val="0"/>
        <w:rPr>
          <w:rFonts w:ascii="仿宋" w:hAnsi="仿宋" w:eastAsia="仿宋" w:cs="仿宋"/>
          <w:b/>
          <w:sz w:val="32"/>
          <w:szCs w:val="32"/>
        </w:rPr>
      </w:pPr>
      <w:r>
        <w:rPr>
          <w:rFonts w:hint="eastAsia" w:ascii="仿宋" w:hAnsi="仿宋" w:eastAsia="仿宋" w:cs="仿宋"/>
          <w:b/>
          <w:sz w:val="32"/>
          <w:szCs w:val="32"/>
        </w:rPr>
        <w:t>附件</w:t>
      </w:r>
    </w:p>
    <w:p>
      <w:pPr>
        <w:outlineLvl w:val="0"/>
        <w:rPr>
          <w:rFonts w:ascii="仿宋_GB2312" w:hAnsi="仿宋" w:eastAsia="仿宋_GB2312"/>
          <w:b/>
          <w:sz w:val="28"/>
          <w:szCs w:val="28"/>
        </w:rPr>
      </w:pPr>
      <w:r>
        <w:rPr>
          <w:rFonts w:hint="eastAsia" w:ascii="仿宋_GB2312" w:hAnsi="仿宋" w:eastAsia="仿宋_GB2312"/>
          <w:b/>
          <w:sz w:val="28"/>
          <w:szCs w:val="28"/>
        </w:rPr>
        <w:t>竞赛样题</w:t>
      </w:r>
    </w:p>
    <w:p>
      <w:pPr>
        <w:snapToGrid w:val="0"/>
        <w:spacing w:line="500" w:lineRule="exact"/>
        <w:ind w:firstLine="560" w:firstLineChars="200"/>
        <w:rPr>
          <w:rFonts w:ascii="仿宋_GB2312" w:hAnsi="仿宋" w:eastAsia="仿宋_GB2312" w:cs="Arial"/>
          <w:sz w:val="28"/>
          <w:szCs w:val="28"/>
        </w:rPr>
      </w:pPr>
      <w:r>
        <w:rPr>
          <w:rFonts w:hint="eastAsia" w:ascii="仿宋_GB2312" w:hAnsi="仿宋" w:eastAsia="仿宋_GB2312" w:cs="Arial"/>
          <w:sz w:val="28"/>
          <w:szCs w:val="28"/>
        </w:rPr>
        <w:t>赛题样例如下：</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（一）外贸B2B模块</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考察内容包括外贸B2B平台推广及外贸业务操作两部分。选手通过外贸B2B平台推广公司和产品，带来业务机会。</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背景资料：</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贸易国家：中国、日本</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1.注册公司</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公司已完成注册，无需选手自己填写。</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2.业务推广</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通过外贸B2B电子商务平台进行公司和产品的推广和宣传，获得进出口业务机会。</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2.1 建站管理</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（1）管理公司信息</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完善自己的公司信息，需填写公司的主营业务、更多的经营产品、公司详细信息、设置公司标志、公司形象展示图。管理及查看公司的营业执照、管理体系证书、产品检测报告、荣誉证书、专利证书等。</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要求：</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①主营业务：填写公司的主营业务，要求为英文，尽量完整，至少填写1项，最多可填写5项 。</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②更多的经营产品：填写公司的其他经营产品，要求为英文，尽量完整，最多可填写10项。</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③公司详细信息：描述公司的详细信息，要求为英文，尽量填写完整。</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④设置公司标志：从系统给定的图片中任意选择一个作为公司标志。</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⑤公司形象展示图：从系统中选择图片，最多3张。</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（2）公司认证（A&amp;V）</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完成公司认证，获得认证标志。</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（3）管理能力评估</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加入金品诚企，管理查看管理能力评估报告（企业能力评估报告、主营产品认证报告）。</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（4）店铺装修</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从系统中选择店铺主题及设置Banner，注意店铺整体风格。</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2.2 管理产品</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（1）发布产品</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选择产品类别，填写产品详情，发布产品供进口客户搜索、查看。具体填写内容为：</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①产品名称：填写英文，不超过128个字符。产品名称应包含商品的英文名全称、产品特征（属性）等，避免罗列和堆砌。</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②产品关键词：填写英文，至少填写1个关键词，最多可填写3个。</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③产品图片：从图片银行中选择1-6张对应商品的图片。</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④产品属性：包括原产地、3个产品属性、毛净重、体积，根据系统中的商品资料填写。</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⑤交易信息：包括FOB价、最小起订量、结算方式，根据自己的实际需求填写。</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⑥物流信息：包括发货时间、港口、供货能力，根据自己的实际需求填写。</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⑦产品详情：使用英文进行详细描述。可包含产品标题、产品描述（具体为产品规格型号、属性等）、产品展示图、包装和运输、公司信息等内容。</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（2）管理产品</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管理已发布的产品，可对产品进行编辑、下架等操作。</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（3）管理认证产品</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加入金品诚企后，即可设置主营认证产品，最多10个。</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（4）管理橱窗产品</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加入金品诚企后，即可设置橱窗产品，最多40个。</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（5）产品分组与排序</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创建店铺内产品分组，并设置组内商品排序，使店铺内的商品排序更合理。</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2.3 采购直达</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发布和管理采购需求。发布的采购需求要求将产品关键词、订单需求数量和单位、采购需求详细信息、期望单价、目的港、支付方式等要素填写完整。</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2.4 公司广告推广</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标题和内容均要求为英文，内容尽量完整清晰。</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3.寻找客户</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3.1 寻找目标客户</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途径一：通过在外贸B2B平台中主动搜索与查看产品、店铺、采购需求等信息，筛选出目标客户，并与其建立业务关系，获得进出口业务机会。</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途径二：通过发布公司广告、发布产品，推销自己的公司和产品，吸引进口商联系和询盘，获得出口业务机会。</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途径三：通过发布采购需求，吸引出口商前来联系和报价，获得进口业务机会。</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3.2 与客户建立业务关系</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开始一笔新业务，输入对方账号，选择业务类型（出口业务或进口业务），给对方发送建立业务关系的函电，待对方回复后即可进入业务磋商环节。</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4.业务磋商</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4.1 流程</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（1）进口商发送询盘邮件。</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（2）出口商计算出口报价。</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（3）出口商发送报价邮件。</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（4）进口商收取出口商报价邮件，填写进口成本预算表，核算出成本与利润，确定还盘还是接受。</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（5）进口商发送还盘或接受邮件。</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4.2 要求</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（1）一笔业务的磋商过程，询盘、发盘、接受这3个环节必不可少，还盘可以没有。</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（2）所有函电的标题和正文必须为英文，写作格式要规范。</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（3）“发盘”函电的正文中需写全以下要素，错写漏写均不得分：产品编号、产品名称、数量、单价（完整的表达）、总金额、结算方式、运输方式、装运港、目的港、保险条款等；</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注意: 发盘要素的标题必须为英文，且与下表中“发盘要素标题（英文）”完全一致（必须包含英文半角冒号），具体内容必须与最终签订合同中的条款吻合（具体参考下表中的“内容”），否则无法得分。</w:t>
      </w:r>
    </w:p>
    <w:p>
      <w:pPr>
        <w:spacing w:line="560" w:lineRule="exact"/>
        <w:jc w:val="center"/>
        <w:rPr>
          <w:rFonts w:ascii="仿宋_GB2312" w:hAnsi="宋体" w:eastAsia="仿宋_GB2312" w:cs="宋体"/>
          <w:sz w:val="28"/>
          <w:szCs w:val="28"/>
        </w:rPr>
      </w:pPr>
      <w:r>
        <w:rPr>
          <w:rFonts w:hint="eastAsia" w:ascii="仿宋_GB2312" w:hAnsi="宋体" w:eastAsia="仿宋_GB2312" w:cs="宋体"/>
          <w:sz w:val="28"/>
          <w:szCs w:val="28"/>
        </w:rPr>
        <w:t>表3 发盘要素及要求</w:t>
      </w:r>
    </w:p>
    <w:tbl>
      <w:tblPr>
        <w:tblStyle w:val="8"/>
        <w:tblW w:w="8613" w:type="dxa"/>
        <w:tblInd w:w="0" w:type="dxa"/>
        <w:tblLayout w:type="fixed"/>
        <w:tblCellMar>
          <w:top w:w="0" w:type="dxa"/>
          <w:left w:w="108" w:type="dxa"/>
          <w:bottom w:w="0" w:type="dxa"/>
          <w:right w:w="108" w:type="dxa"/>
        </w:tblCellMar>
      </w:tblPr>
      <w:tblGrid>
        <w:gridCol w:w="1526"/>
        <w:gridCol w:w="2977"/>
        <w:gridCol w:w="4110"/>
      </w:tblGrid>
      <w:tr>
        <w:tblPrEx>
          <w:tblCellMar>
            <w:top w:w="0" w:type="dxa"/>
            <w:left w:w="108" w:type="dxa"/>
            <w:bottom w:w="0" w:type="dxa"/>
            <w:right w:w="108" w:type="dxa"/>
          </w:tblCellMar>
        </w:tblPrEx>
        <w:trPr>
          <w:trHeight w:val="515" w:hRule="atLeast"/>
          <w:tblHeader/>
        </w:trPr>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发盘要素</w:t>
            </w:r>
          </w:p>
        </w:tc>
        <w:tc>
          <w:tcPr>
            <w:tcW w:w="297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发盘要素标题（英文）</w:t>
            </w:r>
          </w:p>
        </w:tc>
        <w:tc>
          <w:tcPr>
            <w:tcW w:w="411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内容</w:t>
            </w:r>
          </w:p>
        </w:tc>
      </w:tr>
      <w:tr>
        <w:tblPrEx>
          <w:tblCellMar>
            <w:top w:w="0" w:type="dxa"/>
            <w:left w:w="108" w:type="dxa"/>
            <w:bottom w:w="0" w:type="dxa"/>
            <w:right w:w="108" w:type="dxa"/>
          </w:tblCellMar>
        </w:tblPrEx>
        <w:trPr>
          <w:trHeight w:val="270" w:hRule="atLeast"/>
          <w:tblHeader/>
        </w:trPr>
        <w:tc>
          <w:tcPr>
            <w:tcW w:w="1526"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产品编号</w:t>
            </w:r>
          </w:p>
        </w:tc>
        <w:tc>
          <w:tcPr>
            <w:tcW w:w="2977" w:type="dxa"/>
            <w:tcBorders>
              <w:top w:val="nil"/>
              <w:left w:val="nil"/>
              <w:bottom w:val="single" w:color="auto" w:sz="4" w:space="0"/>
              <w:right w:val="single" w:color="auto" w:sz="4" w:space="0"/>
            </w:tcBorders>
            <w:vAlign w:val="center"/>
          </w:tcPr>
          <w:p>
            <w:pPr>
              <w:widowControl/>
              <w:rPr>
                <w:rFonts w:eastAsia="仿宋_GB2312"/>
                <w:color w:val="000000"/>
                <w:kern w:val="0"/>
                <w:sz w:val="28"/>
                <w:szCs w:val="28"/>
              </w:rPr>
            </w:pPr>
            <w:r>
              <w:rPr>
                <w:rFonts w:eastAsia="仿宋_GB2312"/>
                <w:color w:val="000000"/>
                <w:kern w:val="0"/>
                <w:sz w:val="28"/>
                <w:szCs w:val="28"/>
              </w:rPr>
              <w:t>Product No.:</w:t>
            </w:r>
          </w:p>
        </w:tc>
        <w:tc>
          <w:tcPr>
            <w:tcW w:w="4110"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与合同中商品编号完全一致</w:t>
            </w:r>
          </w:p>
        </w:tc>
      </w:tr>
      <w:tr>
        <w:tblPrEx>
          <w:tblCellMar>
            <w:top w:w="0" w:type="dxa"/>
            <w:left w:w="108" w:type="dxa"/>
            <w:bottom w:w="0" w:type="dxa"/>
            <w:right w:w="108" w:type="dxa"/>
          </w:tblCellMar>
        </w:tblPrEx>
        <w:trPr>
          <w:trHeight w:val="270" w:hRule="atLeast"/>
          <w:tblHeader/>
        </w:trPr>
        <w:tc>
          <w:tcPr>
            <w:tcW w:w="1526"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产品名称</w:t>
            </w:r>
          </w:p>
        </w:tc>
        <w:tc>
          <w:tcPr>
            <w:tcW w:w="2977" w:type="dxa"/>
            <w:tcBorders>
              <w:top w:val="nil"/>
              <w:left w:val="nil"/>
              <w:bottom w:val="single" w:color="auto" w:sz="4" w:space="0"/>
              <w:right w:val="single" w:color="auto" w:sz="4" w:space="0"/>
            </w:tcBorders>
            <w:vAlign w:val="center"/>
          </w:tcPr>
          <w:p>
            <w:pPr>
              <w:widowControl/>
              <w:rPr>
                <w:rFonts w:eastAsia="仿宋_GB2312"/>
                <w:color w:val="000000"/>
                <w:kern w:val="0"/>
                <w:sz w:val="28"/>
                <w:szCs w:val="28"/>
              </w:rPr>
            </w:pPr>
            <w:r>
              <w:rPr>
                <w:rFonts w:eastAsia="仿宋_GB2312"/>
                <w:color w:val="000000"/>
                <w:kern w:val="0"/>
                <w:sz w:val="28"/>
                <w:szCs w:val="28"/>
              </w:rPr>
              <w:t>Product Name:</w:t>
            </w:r>
          </w:p>
        </w:tc>
        <w:tc>
          <w:tcPr>
            <w:tcW w:w="4110"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与商品资料中的商品名称完全一致</w:t>
            </w:r>
          </w:p>
        </w:tc>
      </w:tr>
      <w:tr>
        <w:tblPrEx>
          <w:tblCellMar>
            <w:top w:w="0" w:type="dxa"/>
            <w:left w:w="108" w:type="dxa"/>
            <w:bottom w:w="0" w:type="dxa"/>
            <w:right w:w="108" w:type="dxa"/>
          </w:tblCellMar>
        </w:tblPrEx>
        <w:trPr>
          <w:trHeight w:val="270" w:hRule="atLeast"/>
          <w:tblHeader/>
        </w:trPr>
        <w:tc>
          <w:tcPr>
            <w:tcW w:w="1526"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数量</w:t>
            </w:r>
          </w:p>
        </w:tc>
        <w:tc>
          <w:tcPr>
            <w:tcW w:w="2977" w:type="dxa"/>
            <w:tcBorders>
              <w:top w:val="nil"/>
              <w:left w:val="nil"/>
              <w:bottom w:val="single" w:color="auto" w:sz="4" w:space="0"/>
              <w:right w:val="single" w:color="auto" w:sz="4" w:space="0"/>
            </w:tcBorders>
            <w:vAlign w:val="center"/>
          </w:tcPr>
          <w:p>
            <w:pPr>
              <w:widowControl/>
              <w:rPr>
                <w:rFonts w:eastAsia="仿宋_GB2312"/>
                <w:color w:val="000000"/>
                <w:kern w:val="0"/>
                <w:sz w:val="28"/>
                <w:szCs w:val="28"/>
              </w:rPr>
            </w:pPr>
            <w:r>
              <w:rPr>
                <w:rFonts w:eastAsia="仿宋_GB2312"/>
                <w:color w:val="000000"/>
                <w:kern w:val="0"/>
                <w:sz w:val="28"/>
                <w:szCs w:val="28"/>
              </w:rPr>
              <w:t>Quantity:</w:t>
            </w:r>
          </w:p>
        </w:tc>
        <w:tc>
          <w:tcPr>
            <w:tcW w:w="4110"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与合同中商品数量完全一致</w:t>
            </w:r>
          </w:p>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格式：数字+单位（注意单复数）</w:t>
            </w:r>
          </w:p>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例如：</w:t>
            </w:r>
            <w:r>
              <w:rPr>
                <w:rFonts w:hint="eastAsia" w:ascii="仿宋_GB2312" w:hAnsi="宋体" w:eastAsia="仿宋_GB2312"/>
                <w:color w:val="000000"/>
                <w:kern w:val="0"/>
                <w:sz w:val="28"/>
                <w:szCs w:val="28"/>
              </w:rPr>
              <w:t>200 PCS</w:t>
            </w:r>
          </w:p>
        </w:tc>
      </w:tr>
      <w:tr>
        <w:tblPrEx>
          <w:tblCellMar>
            <w:top w:w="0" w:type="dxa"/>
            <w:left w:w="108" w:type="dxa"/>
            <w:bottom w:w="0" w:type="dxa"/>
            <w:right w:w="108" w:type="dxa"/>
          </w:tblCellMar>
        </w:tblPrEx>
        <w:trPr>
          <w:trHeight w:val="270" w:hRule="atLeast"/>
          <w:tblHeader/>
        </w:trPr>
        <w:tc>
          <w:tcPr>
            <w:tcW w:w="1526"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单价</w:t>
            </w:r>
          </w:p>
        </w:tc>
        <w:tc>
          <w:tcPr>
            <w:tcW w:w="2977" w:type="dxa"/>
            <w:tcBorders>
              <w:top w:val="nil"/>
              <w:left w:val="nil"/>
              <w:bottom w:val="single" w:color="auto" w:sz="4" w:space="0"/>
              <w:right w:val="single" w:color="auto" w:sz="4" w:space="0"/>
            </w:tcBorders>
            <w:vAlign w:val="center"/>
          </w:tcPr>
          <w:p>
            <w:pPr>
              <w:widowControl/>
              <w:rPr>
                <w:rFonts w:eastAsia="仿宋_GB2312"/>
                <w:color w:val="000000"/>
                <w:kern w:val="0"/>
                <w:sz w:val="28"/>
                <w:szCs w:val="28"/>
              </w:rPr>
            </w:pPr>
            <w:r>
              <w:rPr>
                <w:rFonts w:eastAsia="仿宋_GB2312"/>
                <w:color w:val="000000"/>
                <w:kern w:val="0"/>
                <w:sz w:val="28"/>
                <w:szCs w:val="28"/>
              </w:rPr>
              <w:t>Unit Price:</w:t>
            </w:r>
          </w:p>
        </w:tc>
        <w:tc>
          <w:tcPr>
            <w:tcW w:w="4110"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与合同中商品单价完全一致，并要表达完整</w:t>
            </w:r>
          </w:p>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例如：</w:t>
            </w:r>
            <w:r>
              <w:rPr>
                <w:rFonts w:hint="eastAsia" w:ascii="仿宋_GB2312" w:hAnsi="宋体" w:eastAsia="仿宋_GB2312"/>
                <w:color w:val="000000"/>
                <w:kern w:val="0"/>
                <w:sz w:val="28"/>
                <w:szCs w:val="28"/>
              </w:rPr>
              <w:t>USD 20.5 PER CARTON CIF NEWYORK,AMERICA</w:t>
            </w:r>
          </w:p>
        </w:tc>
      </w:tr>
      <w:tr>
        <w:tblPrEx>
          <w:tblCellMar>
            <w:top w:w="0" w:type="dxa"/>
            <w:left w:w="108" w:type="dxa"/>
            <w:bottom w:w="0" w:type="dxa"/>
            <w:right w:w="108" w:type="dxa"/>
          </w:tblCellMar>
        </w:tblPrEx>
        <w:trPr>
          <w:trHeight w:val="270" w:hRule="atLeast"/>
          <w:tblHeader/>
        </w:trPr>
        <w:tc>
          <w:tcPr>
            <w:tcW w:w="1526"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总金额</w:t>
            </w:r>
          </w:p>
        </w:tc>
        <w:tc>
          <w:tcPr>
            <w:tcW w:w="2977" w:type="dxa"/>
            <w:tcBorders>
              <w:top w:val="nil"/>
              <w:left w:val="nil"/>
              <w:bottom w:val="single" w:color="auto" w:sz="4" w:space="0"/>
              <w:right w:val="single" w:color="auto" w:sz="4" w:space="0"/>
            </w:tcBorders>
            <w:vAlign w:val="center"/>
          </w:tcPr>
          <w:p>
            <w:pPr>
              <w:widowControl/>
              <w:rPr>
                <w:rFonts w:eastAsia="仿宋_GB2312"/>
                <w:color w:val="000000"/>
                <w:kern w:val="0"/>
                <w:sz w:val="28"/>
                <w:szCs w:val="28"/>
              </w:rPr>
            </w:pPr>
            <w:r>
              <w:rPr>
                <w:rFonts w:eastAsia="仿宋_GB2312"/>
                <w:color w:val="000000"/>
                <w:kern w:val="0"/>
                <w:sz w:val="28"/>
                <w:szCs w:val="28"/>
              </w:rPr>
              <w:t>Amount:</w:t>
            </w:r>
          </w:p>
        </w:tc>
        <w:tc>
          <w:tcPr>
            <w:tcW w:w="4110"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与合同总金额完全一致</w:t>
            </w:r>
          </w:p>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格式：币别+数字</w:t>
            </w:r>
          </w:p>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例如：</w:t>
            </w:r>
            <w:r>
              <w:rPr>
                <w:rFonts w:hint="eastAsia" w:ascii="仿宋_GB2312" w:hAnsi="宋体" w:eastAsia="仿宋_GB2312"/>
                <w:color w:val="000000"/>
                <w:kern w:val="0"/>
                <w:sz w:val="28"/>
                <w:szCs w:val="28"/>
              </w:rPr>
              <w:t>GBP 35000</w:t>
            </w:r>
          </w:p>
        </w:tc>
      </w:tr>
      <w:tr>
        <w:tblPrEx>
          <w:tblCellMar>
            <w:top w:w="0" w:type="dxa"/>
            <w:left w:w="108" w:type="dxa"/>
            <w:bottom w:w="0" w:type="dxa"/>
            <w:right w:w="108" w:type="dxa"/>
          </w:tblCellMar>
        </w:tblPrEx>
        <w:trPr>
          <w:trHeight w:val="270" w:hRule="atLeast"/>
          <w:tblHeader/>
        </w:trPr>
        <w:tc>
          <w:tcPr>
            <w:tcW w:w="1526"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结算方式</w:t>
            </w:r>
          </w:p>
        </w:tc>
        <w:tc>
          <w:tcPr>
            <w:tcW w:w="2977" w:type="dxa"/>
            <w:tcBorders>
              <w:top w:val="nil"/>
              <w:left w:val="nil"/>
              <w:bottom w:val="single" w:color="auto" w:sz="4" w:space="0"/>
              <w:right w:val="single" w:color="auto" w:sz="4" w:space="0"/>
            </w:tcBorders>
            <w:vAlign w:val="center"/>
          </w:tcPr>
          <w:p>
            <w:pPr>
              <w:widowControl/>
              <w:rPr>
                <w:rFonts w:eastAsia="仿宋_GB2312"/>
                <w:color w:val="000000"/>
                <w:kern w:val="0"/>
                <w:sz w:val="28"/>
                <w:szCs w:val="28"/>
              </w:rPr>
            </w:pPr>
            <w:r>
              <w:rPr>
                <w:rFonts w:eastAsia="仿宋_GB2312"/>
                <w:color w:val="000000"/>
                <w:kern w:val="0"/>
                <w:sz w:val="28"/>
                <w:szCs w:val="28"/>
              </w:rPr>
              <w:t>Payment:</w:t>
            </w:r>
          </w:p>
        </w:tc>
        <w:tc>
          <w:tcPr>
            <w:tcW w:w="4110"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与合同中结算方式完全一致，必须完整表达</w:t>
            </w:r>
          </w:p>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例如：</w:t>
            </w:r>
            <w:r>
              <w:rPr>
                <w:rFonts w:hint="eastAsia" w:ascii="仿宋_GB2312" w:hAnsi="宋体" w:eastAsia="仿宋_GB2312"/>
                <w:color w:val="000000"/>
                <w:kern w:val="0"/>
                <w:sz w:val="28"/>
                <w:szCs w:val="28"/>
              </w:rPr>
              <w:t>T/T 30% IN ADVANCE AND 70% WITHIN 30 DAYS AFTER SHIPMENT DATE</w:t>
            </w:r>
          </w:p>
        </w:tc>
      </w:tr>
      <w:tr>
        <w:tblPrEx>
          <w:tblCellMar>
            <w:top w:w="0" w:type="dxa"/>
            <w:left w:w="108" w:type="dxa"/>
            <w:bottom w:w="0" w:type="dxa"/>
            <w:right w:w="108" w:type="dxa"/>
          </w:tblCellMar>
        </w:tblPrEx>
        <w:trPr>
          <w:trHeight w:val="270" w:hRule="atLeast"/>
          <w:tblHeader/>
        </w:trPr>
        <w:tc>
          <w:tcPr>
            <w:tcW w:w="1526"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运输方式</w:t>
            </w:r>
          </w:p>
        </w:tc>
        <w:tc>
          <w:tcPr>
            <w:tcW w:w="2977" w:type="dxa"/>
            <w:tcBorders>
              <w:top w:val="nil"/>
              <w:left w:val="nil"/>
              <w:bottom w:val="single" w:color="auto" w:sz="4" w:space="0"/>
              <w:right w:val="single" w:color="auto" w:sz="4" w:space="0"/>
            </w:tcBorders>
            <w:vAlign w:val="center"/>
          </w:tcPr>
          <w:p>
            <w:pPr>
              <w:widowControl/>
              <w:rPr>
                <w:rFonts w:eastAsia="仿宋_GB2312"/>
                <w:color w:val="000000"/>
                <w:kern w:val="0"/>
                <w:sz w:val="28"/>
                <w:szCs w:val="28"/>
              </w:rPr>
            </w:pPr>
            <w:r>
              <w:rPr>
                <w:rFonts w:eastAsia="仿宋_GB2312"/>
                <w:color w:val="000000"/>
                <w:kern w:val="0"/>
                <w:sz w:val="28"/>
                <w:szCs w:val="28"/>
              </w:rPr>
              <w:t>Means of Transport:</w:t>
            </w:r>
          </w:p>
        </w:tc>
        <w:tc>
          <w:tcPr>
            <w:tcW w:w="4110"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与合同中运输方式完全一致，具体为</w:t>
            </w:r>
            <w:r>
              <w:rPr>
                <w:rFonts w:hint="eastAsia" w:ascii="仿宋_GB2312" w:hAnsi="宋体" w:eastAsia="仿宋_GB2312"/>
                <w:color w:val="000000"/>
                <w:kern w:val="0"/>
                <w:sz w:val="28"/>
                <w:szCs w:val="28"/>
              </w:rPr>
              <w:t>BY VESSEL</w:t>
            </w:r>
            <w:r>
              <w:rPr>
                <w:rFonts w:hint="eastAsia" w:ascii="仿宋_GB2312" w:hAnsi="宋体" w:eastAsia="仿宋_GB2312" w:cs="宋体"/>
                <w:color w:val="000000"/>
                <w:kern w:val="0"/>
                <w:sz w:val="28"/>
                <w:szCs w:val="28"/>
              </w:rPr>
              <w:t>或</w:t>
            </w:r>
            <w:r>
              <w:rPr>
                <w:rFonts w:hint="eastAsia" w:ascii="仿宋_GB2312" w:hAnsi="宋体" w:eastAsia="仿宋_GB2312"/>
                <w:color w:val="000000"/>
                <w:kern w:val="0"/>
                <w:sz w:val="28"/>
                <w:szCs w:val="28"/>
              </w:rPr>
              <w:t>BY AIR</w:t>
            </w:r>
          </w:p>
        </w:tc>
      </w:tr>
      <w:tr>
        <w:tblPrEx>
          <w:tblCellMar>
            <w:top w:w="0" w:type="dxa"/>
            <w:left w:w="108" w:type="dxa"/>
            <w:bottom w:w="0" w:type="dxa"/>
            <w:right w:w="108" w:type="dxa"/>
          </w:tblCellMar>
        </w:tblPrEx>
        <w:trPr>
          <w:trHeight w:val="270" w:hRule="atLeast"/>
          <w:tblHeader/>
        </w:trPr>
        <w:tc>
          <w:tcPr>
            <w:tcW w:w="1526"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装运港</w:t>
            </w:r>
          </w:p>
        </w:tc>
        <w:tc>
          <w:tcPr>
            <w:tcW w:w="2977" w:type="dxa"/>
            <w:tcBorders>
              <w:top w:val="nil"/>
              <w:left w:val="nil"/>
              <w:bottom w:val="single" w:color="auto" w:sz="4" w:space="0"/>
              <w:right w:val="single" w:color="auto" w:sz="4" w:space="0"/>
            </w:tcBorders>
            <w:vAlign w:val="center"/>
          </w:tcPr>
          <w:p>
            <w:pPr>
              <w:widowControl/>
              <w:rPr>
                <w:rFonts w:eastAsia="仿宋_GB2312"/>
                <w:color w:val="000000"/>
                <w:kern w:val="0"/>
                <w:sz w:val="28"/>
                <w:szCs w:val="28"/>
              </w:rPr>
            </w:pPr>
            <w:r>
              <w:rPr>
                <w:rFonts w:eastAsia="仿宋_GB2312"/>
                <w:color w:val="000000"/>
                <w:kern w:val="0"/>
                <w:sz w:val="28"/>
                <w:szCs w:val="28"/>
              </w:rPr>
              <w:t>Port of Shipment:</w:t>
            </w:r>
          </w:p>
        </w:tc>
        <w:tc>
          <w:tcPr>
            <w:tcW w:w="4110"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与合同中装运港完全一致</w:t>
            </w:r>
          </w:p>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格式：港口,国家</w:t>
            </w:r>
          </w:p>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例如：</w:t>
            </w:r>
            <w:r>
              <w:rPr>
                <w:rFonts w:hint="eastAsia" w:ascii="仿宋_GB2312" w:hAnsi="宋体" w:eastAsia="仿宋_GB2312"/>
                <w:color w:val="000000"/>
                <w:kern w:val="0"/>
                <w:sz w:val="28"/>
                <w:szCs w:val="28"/>
              </w:rPr>
              <w:t>HAMBURG,GERMANY</w:t>
            </w:r>
          </w:p>
        </w:tc>
      </w:tr>
      <w:tr>
        <w:tblPrEx>
          <w:tblCellMar>
            <w:top w:w="0" w:type="dxa"/>
            <w:left w:w="108" w:type="dxa"/>
            <w:bottom w:w="0" w:type="dxa"/>
            <w:right w:w="108" w:type="dxa"/>
          </w:tblCellMar>
        </w:tblPrEx>
        <w:trPr>
          <w:trHeight w:val="270" w:hRule="atLeast"/>
          <w:tblHeader/>
        </w:trPr>
        <w:tc>
          <w:tcPr>
            <w:tcW w:w="1526"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目的港</w:t>
            </w:r>
          </w:p>
        </w:tc>
        <w:tc>
          <w:tcPr>
            <w:tcW w:w="2977" w:type="dxa"/>
            <w:tcBorders>
              <w:top w:val="nil"/>
              <w:left w:val="nil"/>
              <w:bottom w:val="single" w:color="auto" w:sz="4" w:space="0"/>
              <w:right w:val="single" w:color="auto" w:sz="4" w:space="0"/>
            </w:tcBorders>
            <w:vAlign w:val="center"/>
          </w:tcPr>
          <w:p>
            <w:pPr>
              <w:widowControl/>
              <w:rPr>
                <w:rFonts w:eastAsia="仿宋_GB2312"/>
                <w:color w:val="000000"/>
                <w:kern w:val="0"/>
                <w:sz w:val="28"/>
                <w:szCs w:val="28"/>
              </w:rPr>
            </w:pPr>
            <w:r>
              <w:rPr>
                <w:rFonts w:eastAsia="仿宋_GB2312"/>
                <w:color w:val="000000"/>
                <w:kern w:val="0"/>
                <w:sz w:val="28"/>
                <w:szCs w:val="28"/>
              </w:rPr>
              <w:t>Port of Destination:</w:t>
            </w:r>
          </w:p>
        </w:tc>
        <w:tc>
          <w:tcPr>
            <w:tcW w:w="4110"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与合同中目的港完全一致,格式同装运港</w:t>
            </w:r>
          </w:p>
        </w:tc>
      </w:tr>
      <w:tr>
        <w:tblPrEx>
          <w:tblCellMar>
            <w:top w:w="0" w:type="dxa"/>
            <w:left w:w="108" w:type="dxa"/>
            <w:bottom w:w="0" w:type="dxa"/>
            <w:right w:w="108" w:type="dxa"/>
          </w:tblCellMar>
        </w:tblPrEx>
        <w:trPr>
          <w:trHeight w:val="270" w:hRule="atLeast"/>
          <w:tblHeader/>
        </w:trPr>
        <w:tc>
          <w:tcPr>
            <w:tcW w:w="1526"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保险条款</w:t>
            </w:r>
          </w:p>
        </w:tc>
        <w:tc>
          <w:tcPr>
            <w:tcW w:w="2977" w:type="dxa"/>
            <w:tcBorders>
              <w:top w:val="nil"/>
              <w:left w:val="nil"/>
              <w:bottom w:val="single" w:color="auto" w:sz="4" w:space="0"/>
              <w:right w:val="single" w:color="auto" w:sz="4" w:space="0"/>
            </w:tcBorders>
            <w:vAlign w:val="center"/>
          </w:tcPr>
          <w:p>
            <w:pPr>
              <w:widowControl/>
              <w:rPr>
                <w:rFonts w:eastAsia="仿宋_GB2312"/>
                <w:color w:val="000000"/>
                <w:kern w:val="0"/>
                <w:sz w:val="28"/>
                <w:szCs w:val="28"/>
              </w:rPr>
            </w:pPr>
            <w:r>
              <w:rPr>
                <w:rFonts w:eastAsia="仿宋_GB2312"/>
                <w:color w:val="000000"/>
                <w:kern w:val="0"/>
                <w:sz w:val="28"/>
                <w:szCs w:val="28"/>
              </w:rPr>
              <w:t>Insurance:</w:t>
            </w:r>
          </w:p>
        </w:tc>
        <w:tc>
          <w:tcPr>
            <w:tcW w:w="4110"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与合同中保险条款完全一致</w:t>
            </w:r>
          </w:p>
          <w:p>
            <w:pPr>
              <w:widowControl/>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例如</w:t>
            </w:r>
            <w:r>
              <w:rPr>
                <w:rFonts w:hint="eastAsia" w:ascii="仿宋_GB2312" w:hAnsi="宋体" w:eastAsia="仿宋_GB2312"/>
                <w:color w:val="000000"/>
                <w:kern w:val="0"/>
                <w:sz w:val="28"/>
                <w:szCs w:val="28"/>
              </w:rPr>
              <w:t>FOB</w:t>
            </w:r>
            <w:r>
              <w:rPr>
                <w:rFonts w:hint="eastAsia" w:ascii="仿宋_GB2312" w:hAnsi="宋体" w:eastAsia="仿宋_GB2312" w:cs="宋体"/>
                <w:color w:val="000000"/>
                <w:kern w:val="0"/>
                <w:sz w:val="28"/>
                <w:szCs w:val="28"/>
              </w:rPr>
              <w:t>方式下保险条款如下：</w:t>
            </w:r>
          </w:p>
          <w:p>
            <w:pPr>
              <w:widowControl/>
              <w:rPr>
                <w:rFonts w:ascii="仿宋_GB2312" w:hAnsi="宋体" w:eastAsia="仿宋_GB2312"/>
                <w:kern w:val="0"/>
                <w:sz w:val="28"/>
                <w:szCs w:val="28"/>
              </w:rPr>
            </w:pPr>
            <w:r>
              <w:rPr>
                <w:rFonts w:hint="eastAsia" w:ascii="仿宋_GB2312" w:hAnsi="宋体" w:eastAsia="仿宋_GB2312"/>
                <w:color w:val="000000"/>
                <w:kern w:val="0"/>
                <w:sz w:val="28"/>
                <w:szCs w:val="28"/>
              </w:rPr>
              <w:t>TO BE COVERED BY THE BUYER.</w:t>
            </w:r>
          </w:p>
        </w:tc>
      </w:tr>
    </w:tbl>
    <w:p>
      <w:pPr>
        <w:spacing w:line="560" w:lineRule="exact"/>
        <w:rPr>
          <w:rFonts w:ascii="仿宋_GB2312" w:hAnsi="仿宋" w:eastAsia="仿宋_GB2312" w:cs="宋体"/>
          <w:sz w:val="28"/>
          <w:szCs w:val="28"/>
        </w:rPr>
      </w:pPr>
      <w:r>
        <w:rPr>
          <w:rFonts w:hint="eastAsia" w:ascii="仿宋_GB2312" w:hAnsi="仿宋" w:eastAsia="仿宋_GB2312" w:cs="宋体"/>
          <w:sz w:val="28"/>
          <w:szCs w:val="28"/>
        </w:rPr>
        <w:t>参考范例：</w:t>
      </w:r>
    </w:p>
    <w:p>
      <w:pPr>
        <w:snapToGrid w:val="0"/>
        <w:spacing w:line="560" w:lineRule="exact"/>
        <w:rPr>
          <w:rFonts w:eastAsia="仿宋"/>
          <w:color w:val="000000"/>
          <w:kern w:val="0"/>
          <w:sz w:val="28"/>
          <w:szCs w:val="28"/>
        </w:rPr>
      </w:pPr>
      <w:r>
        <w:rPr>
          <w:rFonts w:eastAsia="仿宋"/>
          <w:color w:val="000000"/>
          <w:kern w:val="0"/>
          <w:sz w:val="28"/>
          <w:szCs w:val="28"/>
        </w:rPr>
        <w:t>Product No.:01005</w:t>
      </w:r>
    </w:p>
    <w:p>
      <w:pPr>
        <w:snapToGrid w:val="0"/>
        <w:spacing w:line="560" w:lineRule="exact"/>
        <w:rPr>
          <w:rFonts w:eastAsia="仿宋"/>
          <w:color w:val="000000"/>
          <w:kern w:val="0"/>
          <w:sz w:val="28"/>
          <w:szCs w:val="28"/>
        </w:rPr>
      </w:pPr>
      <w:r>
        <w:rPr>
          <w:rFonts w:eastAsia="仿宋"/>
          <w:color w:val="000000"/>
          <w:kern w:val="0"/>
          <w:sz w:val="28"/>
          <w:szCs w:val="28"/>
        </w:rPr>
        <w:t>Product Name: CANNED SWEET CORN</w:t>
      </w:r>
    </w:p>
    <w:p>
      <w:pPr>
        <w:snapToGrid w:val="0"/>
        <w:spacing w:line="560" w:lineRule="exact"/>
        <w:rPr>
          <w:rFonts w:eastAsia="仿宋"/>
          <w:color w:val="000000"/>
          <w:kern w:val="0"/>
          <w:sz w:val="28"/>
          <w:szCs w:val="28"/>
        </w:rPr>
      </w:pPr>
      <w:r>
        <w:rPr>
          <w:rFonts w:eastAsia="仿宋"/>
          <w:color w:val="000000"/>
          <w:kern w:val="0"/>
          <w:sz w:val="28"/>
          <w:szCs w:val="28"/>
        </w:rPr>
        <w:t>Quantity:</w:t>
      </w:r>
      <w:r>
        <w:rPr>
          <w:rFonts w:hint="eastAsia" w:eastAsia="仿宋"/>
          <w:color w:val="000000"/>
          <w:kern w:val="0"/>
          <w:sz w:val="28"/>
          <w:szCs w:val="28"/>
        </w:rPr>
        <w:t xml:space="preserve"> </w:t>
      </w:r>
      <w:r>
        <w:rPr>
          <w:rFonts w:eastAsia="仿宋"/>
          <w:color w:val="000000"/>
          <w:kern w:val="0"/>
          <w:sz w:val="28"/>
          <w:szCs w:val="28"/>
        </w:rPr>
        <w:t>10000 CARTONS</w:t>
      </w:r>
    </w:p>
    <w:p>
      <w:pPr>
        <w:snapToGrid w:val="0"/>
        <w:spacing w:line="560" w:lineRule="exact"/>
        <w:rPr>
          <w:rFonts w:eastAsia="仿宋"/>
          <w:color w:val="000000"/>
          <w:kern w:val="0"/>
          <w:sz w:val="28"/>
          <w:szCs w:val="28"/>
        </w:rPr>
      </w:pPr>
      <w:r>
        <w:rPr>
          <w:rFonts w:eastAsia="仿宋"/>
          <w:color w:val="000000"/>
          <w:kern w:val="0"/>
          <w:sz w:val="28"/>
          <w:szCs w:val="28"/>
        </w:rPr>
        <w:t>Unit Price:</w:t>
      </w:r>
      <w:r>
        <w:rPr>
          <w:rFonts w:hint="eastAsia" w:eastAsia="仿宋"/>
          <w:color w:val="000000"/>
          <w:kern w:val="0"/>
          <w:sz w:val="28"/>
          <w:szCs w:val="28"/>
        </w:rPr>
        <w:t xml:space="preserve"> </w:t>
      </w:r>
      <w:r>
        <w:rPr>
          <w:rFonts w:eastAsia="仿宋"/>
          <w:color w:val="000000"/>
          <w:kern w:val="0"/>
          <w:sz w:val="28"/>
          <w:szCs w:val="28"/>
        </w:rPr>
        <w:t>USD 5.3 PER CARTON CIF NEW</w:t>
      </w:r>
      <w:r>
        <w:rPr>
          <w:rFonts w:hint="eastAsia" w:eastAsia="仿宋"/>
          <w:color w:val="000000"/>
          <w:kern w:val="0"/>
          <w:sz w:val="28"/>
          <w:szCs w:val="28"/>
        </w:rPr>
        <w:t xml:space="preserve"> </w:t>
      </w:r>
      <w:r>
        <w:rPr>
          <w:rFonts w:eastAsia="仿宋"/>
          <w:color w:val="000000"/>
          <w:kern w:val="0"/>
          <w:sz w:val="28"/>
          <w:szCs w:val="28"/>
        </w:rPr>
        <w:t>YORK</w:t>
      </w:r>
      <w:r>
        <w:rPr>
          <w:rFonts w:hint="eastAsia" w:eastAsia="仿宋"/>
          <w:color w:val="000000"/>
          <w:kern w:val="0"/>
          <w:sz w:val="28"/>
          <w:szCs w:val="28"/>
        </w:rPr>
        <w:t>, AMERICA</w:t>
      </w:r>
    </w:p>
    <w:p>
      <w:pPr>
        <w:snapToGrid w:val="0"/>
        <w:spacing w:line="560" w:lineRule="exact"/>
        <w:rPr>
          <w:rFonts w:eastAsia="仿宋"/>
          <w:color w:val="000000"/>
          <w:kern w:val="0"/>
          <w:sz w:val="28"/>
          <w:szCs w:val="28"/>
        </w:rPr>
      </w:pPr>
      <w:r>
        <w:rPr>
          <w:rFonts w:eastAsia="仿宋"/>
          <w:color w:val="000000"/>
          <w:kern w:val="0"/>
          <w:sz w:val="28"/>
          <w:szCs w:val="28"/>
        </w:rPr>
        <w:t>Amount:</w:t>
      </w:r>
      <w:r>
        <w:rPr>
          <w:rFonts w:hint="eastAsia" w:eastAsia="仿宋"/>
          <w:color w:val="000000"/>
          <w:kern w:val="0"/>
          <w:sz w:val="28"/>
          <w:szCs w:val="28"/>
        </w:rPr>
        <w:t xml:space="preserve"> </w:t>
      </w:r>
      <w:r>
        <w:rPr>
          <w:rFonts w:eastAsia="仿宋"/>
          <w:color w:val="000000"/>
          <w:kern w:val="0"/>
          <w:sz w:val="28"/>
          <w:szCs w:val="28"/>
        </w:rPr>
        <w:t>USD53000</w:t>
      </w:r>
    </w:p>
    <w:p>
      <w:pPr>
        <w:snapToGrid w:val="0"/>
        <w:spacing w:line="560" w:lineRule="exact"/>
        <w:rPr>
          <w:rFonts w:eastAsia="仿宋"/>
          <w:color w:val="000000"/>
          <w:kern w:val="0"/>
          <w:sz w:val="28"/>
          <w:szCs w:val="28"/>
        </w:rPr>
      </w:pPr>
      <w:r>
        <w:rPr>
          <w:rFonts w:eastAsia="仿宋"/>
          <w:color w:val="000000"/>
          <w:kern w:val="0"/>
          <w:sz w:val="28"/>
          <w:szCs w:val="28"/>
        </w:rPr>
        <w:t>Payment:</w:t>
      </w:r>
      <w:r>
        <w:rPr>
          <w:rFonts w:hint="eastAsia" w:eastAsia="仿宋"/>
          <w:color w:val="000000"/>
          <w:kern w:val="0"/>
          <w:sz w:val="28"/>
          <w:szCs w:val="28"/>
        </w:rPr>
        <w:t xml:space="preserve"> </w:t>
      </w:r>
      <w:r>
        <w:rPr>
          <w:rFonts w:eastAsia="仿宋"/>
          <w:color w:val="000000"/>
          <w:kern w:val="0"/>
          <w:sz w:val="28"/>
          <w:szCs w:val="28"/>
        </w:rPr>
        <w:t>L/C AT 30 DAYS AFTER SIGHT</w:t>
      </w:r>
    </w:p>
    <w:p>
      <w:pPr>
        <w:snapToGrid w:val="0"/>
        <w:spacing w:line="560" w:lineRule="exact"/>
        <w:rPr>
          <w:rFonts w:eastAsia="仿宋"/>
          <w:color w:val="000000"/>
          <w:kern w:val="0"/>
          <w:sz w:val="28"/>
          <w:szCs w:val="28"/>
        </w:rPr>
      </w:pPr>
      <w:r>
        <w:rPr>
          <w:rFonts w:eastAsia="仿宋"/>
          <w:color w:val="000000"/>
          <w:kern w:val="0"/>
          <w:sz w:val="28"/>
          <w:szCs w:val="28"/>
        </w:rPr>
        <w:t>Means of Transport:</w:t>
      </w:r>
      <w:r>
        <w:rPr>
          <w:rFonts w:hint="eastAsia" w:eastAsia="仿宋"/>
          <w:color w:val="000000"/>
          <w:kern w:val="0"/>
          <w:sz w:val="28"/>
          <w:szCs w:val="28"/>
        </w:rPr>
        <w:t xml:space="preserve"> </w:t>
      </w:r>
      <w:r>
        <w:rPr>
          <w:rFonts w:eastAsia="仿宋"/>
          <w:color w:val="000000"/>
          <w:kern w:val="0"/>
          <w:sz w:val="28"/>
          <w:szCs w:val="28"/>
        </w:rPr>
        <w:t>BY VESSEL</w:t>
      </w:r>
    </w:p>
    <w:p>
      <w:pPr>
        <w:snapToGrid w:val="0"/>
        <w:spacing w:line="560" w:lineRule="exact"/>
        <w:rPr>
          <w:rFonts w:eastAsia="仿宋"/>
          <w:color w:val="000000"/>
          <w:kern w:val="0"/>
          <w:sz w:val="28"/>
          <w:szCs w:val="28"/>
        </w:rPr>
      </w:pPr>
      <w:r>
        <w:rPr>
          <w:rFonts w:eastAsia="仿宋"/>
          <w:color w:val="000000"/>
          <w:kern w:val="0"/>
          <w:sz w:val="28"/>
          <w:szCs w:val="28"/>
        </w:rPr>
        <w:t>Port of Shipment:</w:t>
      </w:r>
      <w:r>
        <w:rPr>
          <w:rFonts w:hint="eastAsia" w:eastAsia="仿宋"/>
          <w:color w:val="000000"/>
          <w:kern w:val="0"/>
          <w:sz w:val="28"/>
          <w:szCs w:val="28"/>
        </w:rPr>
        <w:t xml:space="preserve"> </w:t>
      </w:r>
      <w:r>
        <w:rPr>
          <w:rFonts w:eastAsia="仿宋"/>
          <w:color w:val="000000"/>
          <w:kern w:val="0"/>
          <w:sz w:val="28"/>
          <w:szCs w:val="28"/>
        </w:rPr>
        <w:t>SHANGHAI</w:t>
      </w:r>
      <w:r>
        <w:rPr>
          <w:rFonts w:hint="eastAsia" w:eastAsia="仿宋"/>
          <w:color w:val="000000"/>
          <w:kern w:val="0"/>
          <w:sz w:val="28"/>
          <w:szCs w:val="28"/>
        </w:rPr>
        <w:t>, CHINA</w:t>
      </w:r>
    </w:p>
    <w:p>
      <w:pPr>
        <w:snapToGrid w:val="0"/>
        <w:spacing w:line="560" w:lineRule="exact"/>
        <w:rPr>
          <w:rFonts w:eastAsia="仿宋"/>
          <w:color w:val="000000"/>
          <w:kern w:val="0"/>
          <w:sz w:val="28"/>
          <w:szCs w:val="28"/>
        </w:rPr>
      </w:pPr>
      <w:r>
        <w:rPr>
          <w:rFonts w:eastAsia="仿宋"/>
          <w:color w:val="000000"/>
          <w:kern w:val="0"/>
          <w:sz w:val="28"/>
          <w:szCs w:val="28"/>
        </w:rPr>
        <w:t>Port of Destination:</w:t>
      </w:r>
      <w:r>
        <w:rPr>
          <w:rFonts w:hint="eastAsia" w:eastAsia="仿宋"/>
          <w:color w:val="000000"/>
          <w:kern w:val="0"/>
          <w:sz w:val="28"/>
          <w:szCs w:val="28"/>
        </w:rPr>
        <w:t xml:space="preserve"> </w:t>
      </w:r>
      <w:r>
        <w:rPr>
          <w:rFonts w:eastAsia="仿宋"/>
          <w:color w:val="000000"/>
          <w:kern w:val="0"/>
          <w:sz w:val="28"/>
          <w:szCs w:val="28"/>
        </w:rPr>
        <w:t>NEW</w:t>
      </w:r>
      <w:r>
        <w:rPr>
          <w:rFonts w:hint="eastAsia" w:eastAsia="仿宋"/>
          <w:color w:val="000000"/>
          <w:kern w:val="0"/>
          <w:sz w:val="28"/>
          <w:szCs w:val="28"/>
        </w:rPr>
        <w:t xml:space="preserve"> </w:t>
      </w:r>
      <w:r>
        <w:rPr>
          <w:rFonts w:eastAsia="仿宋"/>
          <w:color w:val="000000"/>
          <w:kern w:val="0"/>
          <w:sz w:val="28"/>
          <w:szCs w:val="28"/>
        </w:rPr>
        <w:t>YORK</w:t>
      </w:r>
      <w:r>
        <w:rPr>
          <w:rFonts w:hint="eastAsia" w:eastAsia="仿宋"/>
          <w:color w:val="000000"/>
          <w:kern w:val="0"/>
          <w:sz w:val="28"/>
          <w:szCs w:val="28"/>
        </w:rPr>
        <w:t>, AMERICA</w:t>
      </w:r>
    </w:p>
    <w:p>
      <w:pPr>
        <w:snapToGrid w:val="0"/>
        <w:spacing w:line="560" w:lineRule="exact"/>
        <w:rPr>
          <w:rFonts w:eastAsia="仿宋"/>
          <w:color w:val="000000"/>
          <w:kern w:val="0"/>
          <w:sz w:val="28"/>
          <w:szCs w:val="28"/>
        </w:rPr>
      </w:pPr>
      <w:r>
        <w:rPr>
          <w:rFonts w:eastAsia="仿宋"/>
          <w:color w:val="000000"/>
          <w:kern w:val="0"/>
          <w:sz w:val="28"/>
          <w:szCs w:val="28"/>
        </w:rPr>
        <w:t>Insurance:</w:t>
      </w:r>
      <w:r>
        <w:rPr>
          <w:rFonts w:hint="eastAsia" w:eastAsia="仿宋"/>
          <w:color w:val="000000"/>
          <w:kern w:val="0"/>
          <w:sz w:val="28"/>
          <w:szCs w:val="28"/>
        </w:rPr>
        <w:t xml:space="preserve"> </w:t>
      </w:r>
      <w:r>
        <w:rPr>
          <w:rFonts w:eastAsia="仿宋"/>
          <w:color w:val="000000"/>
          <w:kern w:val="0"/>
          <w:sz w:val="28"/>
          <w:szCs w:val="28"/>
        </w:rPr>
        <w:t>FOR 110 PERCENT OF THE INVOICE VALUE COVERING INSTITUTE CARGO CLAUSES(A),</w:t>
      </w:r>
      <w:r>
        <w:rPr>
          <w:rFonts w:hint="eastAsia" w:eastAsia="仿宋"/>
          <w:color w:val="000000"/>
          <w:kern w:val="0"/>
          <w:sz w:val="28"/>
          <w:szCs w:val="28"/>
        </w:rPr>
        <w:t xml:space="preserve"> </w:t>
      </w:r>
      <w:r>
        <w:rPr>
          <w:rFonts w:eastAsia="仿宋"/>
          <w:color w:val="000000"/>
          <w:kern w:val="0"/>
          <w:sz w:val="28"/>
          <w:szCs w:val="28"/>
        </w:rPr>
        <w:t>INSTITUTE WAR CLAUSES,INSTITUTE STRIKES CLAUSES.</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（4）交易磋商的结果必须与正式签订的合同一致。</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（5）“接受”函电的正文中包含关键词“accept”或“accepted”。</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5.填写进出口成本预算表</w:t>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进出口双方都必须严格依照双方最终商定的各项条款在系统中填写最终的成本预算表。合同签订完成后，进出口成本预算表会显示“实际发生额”，即为正确答案。</w:t>
      </w:r>
    </w:p>
    <w:p>
      <w:pPr>
        <w:spacing w:line="360" w:lineRule="auto"/>
        <w:ind w:firstLine="560" w:firstLineChars="200"/>
        <w:rPr>
          <w:rFonts w:ascii="仿宋_GB2312" w:hAnsi="仿宋" w:eastAsia="仿宋_GB2312" w:cs="宋体"/>
          <w:sz w:val="28"/>
          <w:szCs w:val="28"/>
        </w:rPr>
      </w:pPr>
      <w:r>
        <w:rPr>
          <w:rFonts w:ascii="Arial Narrow" w:hAnsi="Arial Narrow" w:eastAsia="仿宋_GB2312"/>
          <w:sz w:val="28"/>
          <w:szCs w:val="28"/>
        </w:rPr>
        <w:br w:type="page"/>
      </w:r>
      <w:r>
        <w:rPr>
          <w:rFonts w:hint="eastAsia" w:ascii="Arial Narrow" w:hAnsi="Arial Narrow" w:eastAsia="仿宋_GB2312"/>
          <w:sz w:val="28"/>
          <w:szCs w:val="28"/>
        </w:rPr>
        <w:t>5.</w:t>
      </w:r>
      <w:r>
        <w:rPr>
          <w:rFonts w:hint="eastAsia" w:ascii="仿宋_GB2312" w:hAnsi="仿宋" w:eastAsia="仿宋_GB2312" w:cs="宋体"/>
          <w:sz w:val="28"/>
          <w:szCs w:val="28"/>
        </w:rPr>
        <w:t>1 出口商填写出口成本预算表</w:t>
      </w:r>
    </w:p>
    <w:p>
      <w:pPr>
        <w:spacing w:line="360" w:lineRule="auto"/>
        <w:jc w:val="center"/>
        <w:rPr>
          <w:sz w:val="28"/>
          <w:szCs w:val="28"/>
        </w:rPr>
      </w:pPr>
      <w:r>
        <w:rPr>
          <w:sz w:val="28"/>
          <w:szCs w:val="28"/>
        </w:rPr>
        <w:drawing>
          <wp:inline distT="0" distB="0" distL="0" distR="0">
            <wp:extent cx="5145405" cy="7219950"/>
            <wp:effectExtent l="19050" t="0" r="0" b="0"/>
            <wp:docPr id="13" name="图片 33" descr="说明: D:\比赛\国赛\方案\截图\出口预算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3" descr="说明: D:\比赛\国赛\方案\截图\出口预算表.png"/>
                    <pic:cNvPicPr>
                      <a:picLocks noChangeAspect="1" noChangeArrowheads="1"/>
                    </pic:cNvPicPr>
                  </pic:nvPicPr>
                  <pic:blipFill>
                    <a:blip r:embed="rId30" cstate="print"/>
                    <a:srcRect/>
                    <a:stretch>
                      <a:fillRect/>
                    </a:stretch>
                  </pic:blipFill>
                  <pic:spPr>
                    <a:xfrm>
                      <a:off x="0" y="0"/>
                      <a:ext cx="5145405" cy="7219950"/>
                    </a:xfrm>
                    <a:prstGeom prst="rect">
                      <a:avLst/>
                    </a:prstGeom>
                    <a:noFill/>
                    <a:ln w="9525" cmpd="sng">
                      <a:noFill/>
                      <a:miter lim="800000"/>
                      <a:headEnd/>
                      <a:tailEnd/>
                    </a:ln>
                  </pic:spPr>
                </pic:pic>
              </a:graphicData>
            </a:graphic>
          </wp:inline>
        </w:drawing>
      </w:r>
    </w:p>
    <w:p>
      <w:pPr>
        <w:spacing w:line="360" w:lineRule="auto"/>
        <w:ind w:firstLine="560" w:firstLineChars="200"/>
        <w:rPr>
          <w:rFonts w:ascii="Arial Narrow" w:hAnsi="Arial Narrow" w:eastAsia="仿宋_GB2312"/>
          <w:sz w:val="28"/>
          <w:szCs w:val="28"/>
        </w:rPr>
      </w:pPr>
      <w:r>
        <w:rPr>
          <w:sz w:val="28"/>
          <w:szCs w:val="28"/>
        </w:rPr>
        <w:br w:type="page"/>
      </w:r>
      <w:r>
        <w:rPr>
          <w:rFonts w:hint="eastAsia" w:ascii="Arial Narrow" w:hAnsi="Arial Narrow" w:eastAsia="仿宋_GB2312"/>
          <w:sz w:val="28"/>
          <w:szCs w:val="28"/>
        </w:rPr>
        <w:t>5.2进口商填写进口成本预算表</w:t>
      </w:r>
    </w:p>
    <w:p>
      <w:pPr>
        <w:spacing w:line="360" w:lineRule="auto"/>
        <w:rPr>
          <w:rFonts w:ascii="仿宋_GB2312" w:hAnsi="Arial Narrow" w:eastAsia="仿宋_GB2312" w:cs="Arial"/>
          <w:sz w:val="28"/>
          <w:szCs w:val="28"/>
        </w:rPr>
      </w:pPr>
      <w:r>
        <w:rPr>
          <w:rFonts w:ascii="仿宋_GB2312" w:hAnsi="Arial Narrow" w:eastAsia="仿宋_GB2312" w:cs="Arial"/>
          <w:sz w:val="28"/>
          <w:szCs w:val="28"/>
        </w:rPr>
        <w:drawing>
          <wp:inline distT="0" distB="0" distL="0" distR="0">
            <wp:extent cx="5274945" cy="7656195"/>
            <wp:effectExtent l="19050" t="0" r="1905" b="0"/>
            <wp:docPr id="14" name="图片 34" descr="说明: C:\Users\Administrator\Desktop\预算表日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4" descr="说明: C:\Users\Administrator\Desktop\预算表日本.png"/>
                    <pic:cNvPicPr>
                      <a:picLocks noChangeAspect="1" noChangeArrowheads="1"/>
                    </pic:cNvPicPr>
                  </pic:nvPicPr>
                  <pic:blipFill>
                    <a:blip r:embed="rId31" cstate="print"/>
                    <a:srcRect/>
                    <a:stretch>
                      <a:fillRect/>
                    </a:stretch>
                  </pic:blipFill>
                  <pic:spPr>
                    <a:xfrm>
                      <a:off x="0" y="0"/>
                      <a:ext cx="5274945" cy="7656195"/>
                    </a:xfrm>
                    <a:prstGeom prst="rect">
                      <a:avLst/>
                    </a:prstGeom>
                    <a:noFill/>
                    <a:ln w="9525" cmpd="sng">
                      <a:noFill/>
                      <a:miter lim="800000"/>
                      <a:headEnd/>
                      <a:tailEnd/>
                    </a:ln>
                  </pic:spPr>
                </pic:pic>
              </a:graphicData>
            </a:graphic>
          </wp:inline>
        </w:drawing>
      </w:r>
    </w:p>
    <w:p>
      <w:pPr>
        <w:spacing w:line="360" w:lineRule="auto"/>
        <w:rPr>
          <w:rFonts w:ascii="Arial Narrow" w:hAnsi="Arial Narrow" w:eastAsia="仿宋_GB2312"/>
          <w:sz w:val="28"/>
          <w:szCs w:val="28"/>
        </w:rPr>
      </w:pPr>
    </w:p>
    <w:p>
      <w:pPr>
        <w:spacing w:line="360" w:lineRule="auto"/>
        <w:rPr>
          <w:rFonts w:ascii="Arial Narrow" w:hAnsi="Arial Narrow" w:eastAsia="仿宋_GB2312"/>
          <w:sz w:val="28"/>
          <w:szCs w:val="28"/>
        </w:rPr>
      </w:pPr>
    </w:p>
    <w:p>
      <w:pPr>
        <w:spacing w:line="560" w:lineRule="exact"/>
        <w:ind w:firstLine="560" w:firstLineChars="200"/>
        <w:rPr>
          <w:rFonts w:ascii="仿宋_GB2312" w:hAnsi="仿宋" w:eastAsia="仿宋_GB2312" w:cs="宋体"/>
          <w:sz w:val="28"/>
          <w:szCs w:val="28"/>
        </w:rPr>
      </w:pPr>
      <w:r>
        <w:rPr>
          <w:rFonts w:hint="eastAsia" w:ascii="Arial Narrow" w:hAnsi="Arial Narrow" w:eastAsia="仿宋_GB2312"/>
          <w:sz w:val="28"/>
          <w:szCs w:val="28"/>
        </w:rPr>
        <w:t>6</w:t>
      </w:r>
      <w:r>
        <w:rPr>
          <w:rFonts w:hint="eastAsia" w:ascii="仿宋_GB2312" w:hAnsi="仿宋" w:eastAsia="仿宋_GB2312" w:cs="宋体"/>
          <w:sz w:val="28"/>
          <w:szCs w:val="28"/>
        </w:rPr>
        <w:t>.签订合同</w:t>
      </w:r>
    </w:p>
    <w:p>
      <w:pPr>
        <w:spacing w:line="560" w:lineRule="exact"/>
        <w:ind w:firstLine="560" w:firstLineChars="200"/>
        <w:rPr>
          <w:rFonts w:ascii="仿宋_GB2312" w:hAnsi="仿宋" w:eastAsia="仿宋_GB2312" w:cs="宋体"/>
          <w:sz w:val="28"/>
          <w:szCs w:val="28"/>
        </w:rPr>
      </w:pPr>
      <w:r>
        <w:rPr>
          <w:rFonts w:hint="eastAsia" w:ascii="仿宋_GB2312" w:hAnsi="仿宋" w:eastAsia="仿宋_GB2312" w:cs="宋体"/>
          <w:sz w:val="28"/>
          <w:szCs w:val="28"/>
        </w:rPr>
        <w:t>根据进出口双方的磋商结果由出口商起草合同，检查无误后签字盖章并发送给进口商确认。进口商须仔细检查合同各项条款，如有异议，应拒绝合同，并联系出口商要求其尽快修改；如无异议，即可确认合同，则该笔业务会进入到“历史业务”中，标志着该业务全部完成。</w:t>
      </w:r>
    </w:p>
    <w:p>
      <w:pPr>
        <w:spacing w:line="360" w:lineRule="auto"/>
        <w:jc w:val="center"/>
        <w:rPr>
          <w:rFonts w:ascii="Arial Narrow" w:hAnsi="Arial Narrow" w:eastAsia="仿宋_GB2312"/>
          <w:sz w:val="28"/>
          <w:szCs w:val="28"/>
        </w:rPr>
      </w:pPr>
      <w:r>
        <w:rPr>
          <w:sz w:val="28"/>
          <w:szCs w:val="28"/>
        </w:rPr>
        <w:drawing>
          <wp:inline distT="0" distB="0" distL="0" distR="0">
            <wp:extent cx="5288280" cy="8666480"/>
            <wp:effectExtent l="19050" t="0" r="7620" b="0"/>
            <wp:docPr id="1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5"/>
                    <pic:cNvPicPr>
                      <a:picLocks noChangeAspect="1" noChangeArrowheads="1"/>
                    </pic:cNvPicPr>
                  </pic:nvPicPr>
                  <pic:blipFill>
                    <a:blip r:embed="rId32" cstate="print"/>
                    <a:srcRect/>
                    <a:stretch>
                      <a:fillRect/>
                    </a:stretch>
                  </pic:blipFill>
                  <pic:spPr>
                    <a:xfrm>
                      <a:off x="0" y="0"/>
                      <a:ext cx="5288280" cy="8666480"/>
                    </a:xfrm>
                    <a:prstGeom prst="rect">
                      <a:avLst/>
                    </a:prstGeom>
                    <a:noFill/>
                    <a:ln w="9525" cmpd="sng">
                      <a:noFill/>
                      <a:miter lim="800000"/>
                      <a:headEnd/>
                      <a:tailEnd/>
                    </a:ln>
                  </pic:spPr>
                </pic:pic>
              </a:graphicData>
            </a:graphic>
          </wp:inline>
        </w:drawing>
      </w:r>
    </w:p>
    <w:p>
      <w:pPr>
        <w:spacing w:line="360" w:lineRule="auto"/>
        <w:ind w:firstLine="560" w:firstLineChars="200"/>
        <w:rPr>
          <w:rFonts w:ascii="Arial Narrow" w:hAnsi="Arial Narrow" w:eastAsia="仿宋_GB2312"/>
          <w:sz w:val="28"/>
          <w:szCs w:val="28"/>
        </w:rPr>
      </w:pPr>
      <w:r>
        <w:rPr>
          <w:rFonts w:hint="eastAsia" w:ascii="Arial Narrow" w:hAnsi="Arial Narrow" w:eastAsia="仿宋_GB2312"/>
          <w:sz w:val="28"/>
          <w:szCs w:val="28"/>
        </w:rPr>
        <w:t>（二）外贸B2C模块</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选手以努力提升公司的投资回报率（ROI）为目标，以回合制竞争博弈为形式开展外贸B2C数据运营，在不断发展变化的市场环境中，对相关市场数据和公司运营结果数据进行挖掘与分析，完成产品开发、采购、产品上下架、定价、引流、物流配送、财务管理等各个运营环节的决策制定与实施，并且在逐次展开的回合中不断优化本公司的数据运营战略与决策。</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背景资料：</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销售平台：A平台（亚马逊），B平台（速卖通）</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销售品类：围巾、皮带、太阳镜、男士外套</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回合数量：8个回合</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初始资金：20万元</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1.创建公司</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公司已完成注册，无需选手自己创建。</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2.市场调研</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分析不同国家的消费者需求、汇率、外贸B2C平台政策、物流政策、竞品等各种市场环境，掌握市场需求和市场方向，制定经营策略。</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2.1环境数据</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了解市场环境、货币、税收以及融资等情况。</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（1）市场环境</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分析市场快讯，了解外贸B2C的市场环境以及未来可能的变化趋势，捕捉商机，合理筹划运营决策，并把握不同国家市场规模和市场需求。</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（2）货币</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了解外汇牌价与汇率走势。</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（3）税收</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了解各项税收的征收标准、缴纳时间。</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（4）贷款</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了解中小企业信用贷款和应收账款质押贷款两种贷款方式的要求、发放时间、利率、还贷周期等信息。</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2.2市场前期调研</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访问外贸B2C平台的前端页面，调研在线平台所有在售商品的信息，包括商品标题、定价、好评分以及销售额排名等，改进销售策略。</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2.3 外贸B2C平台</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了解各外贸B2C平台特点与政策，包括市场渗透率、热搜词排行、销售方案和费用、账期以及备货周期。</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（1）市场渗透率</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了解各外贸B2C平台在不同国家的市场渗透率，分析不同国家消费者对不同平台的偏好程度。</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（2）热搜词排行榜</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了解各外贸B2C平台中不同品类的热搜关键词排行榜，分析不同商品的需求情况。</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（3）销售方案和费用</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了解各外贸B2C平台的销售方案和费用明细，销售费用包含佣金和订阅费。了解费用金额、扣除的时间以及扣除的方式。分析不同平台之间的销售费用差异。</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（4）账期与备货时间</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了解各外贸B2C平台与卖家结算销售账款的周期和备货周期。如果卖家没有能够在备货期内及时完成发货，订单将自动取消，并对卖家评级产生不良影响。</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2.4仓储物流</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了解不同物流服务的时效与价格，国内仓与海外仓的收费计算方法。根据所售产品的特点以及物流服务的价格和时效性来选择合适的物流方式。</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（1）物流服务</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了解物品计费重量（实际重量和体积重量）的计算方法，以及不同物流方式运送到不同国家的运费情况。可使用服务查询估算国际物流的运费。</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（2）国内仓库</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了解国内仓库的仓储费率以及库存商品清仓抛售价格的计算方法。</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（3）海外仓库和平台自建物流配送</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了解不同国家的海外仓库和平台自建物流的政策，仓储费用、配送服务费用的计算方法。了解海外仓库存商品清仓抛售价格的计算方法。</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3.采购管理</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国内商品采购平台提供不少于500种商品，每款商品包括图片、价格、起订量、物流成本、包装、货描、品级等信息。在不同回合，商品的采购价格与供应量可能会发生动态变化。选手可综合各种数据测算性价比、进行选品，并制定采购计划。</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4.仓储管理</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查看库存商品清单，通过调仓计划将库存商品在不同的仓库之间进行调拨（包括本地仓与海外仓），调仓需要花费一定的时间周期来完成。可对库存商品进行清仓抛售以盘活资金。</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4.1库存清单</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查看商品在各个仓库详细的库存数量等信息。</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4.2清仓抛售计划</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制定清仓抛售计划。</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4.3调仓计划</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建立海外仓，制定调仓计划，填写相关的调仓信息，对各商品在各个仓库的备货数量进行调拨。</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5.店铺运营</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5.1创建店铺</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选手可创建一个或者多个店铺。店铺一经创建，不予撤销。</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5.2商品管理</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对商品进行管理操作，包括商品上下架、商品标题价格等编辑修改操作。进行商品上架操作时，撰写产品标题、核算产品成本、确定产品价格及折扣、设置产品上架量、选择物流方式及出库地点。</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（1）发布商品（每回合每店铺发布新商品数量上限为50个，每回合每店铺在售商品数量上限为100个。）</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①商品标题：撰写英文标题，包含商品的英文名称、产品特征（属性）等，展现商品特点，避免罗列和堆砌。</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②商品价格：确定商品价格，设置折扣，折扣后的价格即为商品的销售价格。</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③库存：选择发货仓库，并确定上架量。</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④物流：针对不同地区买家选择合适的物流方式，制定相应的运费策略。</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（2）管理商品</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管理已发布的商品，对产品进行编辑、下架等操作。</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5.3营销推广</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（1）平台营销工具</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通过平台营销工具制定商品引流决策，可对每一个上架商品设定单次点击价格和预算限额，并且充值店铺账户。</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（2）社交网络营销工具</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通过社交网络营销工具制定商品引流决策，可为每一个上架商品选择软文广告或网红直播方式，选择对应地区和套餐。</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5.4展示设计</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通过展示设计提升商品的视觉吸引力，不同套餐对应不同成本和效果。</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5.5订单</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查看历史订单的不同状态以及发货情况。</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订单的状态包括等待发货、已发货、已完成、未履行和退货。订单需要在备货期内完成发货，否则会形成未履行订单，已经产生的未履行订单在一段时间内都将影响该店铺商品的销售。</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6.财务管理</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6.1资金</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查询当前回合所有支出和收入的项目明细及可使用资金。</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6.2贷款</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可通过中小企业信用贷款、应收账款质押贷款两种方式进行融资。</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7.运营结果分析</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运营结果数据在每回合末动态产生，反映该回合的决策质量和成果，选手需要通过挖掘财务、订单、利润、库存四大类运营结果的关键数据，结合市场快讯、汇率、税收政策、仓储物流及海外仓信息、外贸B2C平台的政策、竞品信息等进行深入分析，制定企业运营战略及决策。</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7.1财务分析</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（1）资产负债表</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分析资产负债表，了解企业在某个时间点的财务状况。主要包含了“资产”部分和“负债及所有者权益”部分。最终的投资回报率即取决于资产负债表中的“未分配利润”与“实收资本”的比值。</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（2）利润表</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分析利润表，了解企业在一定期间的经营成果和盈利状况。通过对一定阶段的收入、费用、支出进行归类，深入分析企业的盈利状况。</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利润表中的“净利润”金额即为对应时间内资产负债表中的“未分配利润”金额。</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（3）现金流量表</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分析现金流量表，了解公司在一定时期实际的现金流入和现金流出的情况，保证公司健康经营。如果在回合结束计算时现金余额小于0，则公司会破产。</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（4）企业所得税纳税申报表</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查看企业所得税缴纳情况，包括营业收入、营业外收入、营业支出、营业利润、应纳所得税额、税率、实际应缴纳所得税额以及实际已缴纳所得税额等。</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（5）店铺应收账款结算计划表</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查看店铺应收账款结算计划表，了解公司所有经营店铺的应收账款结算情况。对照不同的结算周期查看具体的结算信息。在每个结算日期的明细中，查看该结算日期下结算订单的相关信息。</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（6）贷款还款计划表</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查看贷款还款计划表，了解公司在各个还款周期的贷款与还款情况，包括当期本金、当期利息、管理费、当期应还款总额、剩余应还款总额以及还款状态等信息，合理规划资金使用。</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（7）物流服务费用结算计划表</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查看物流服务费用结算计划表，了解各物流服务在不同回合周期的费用情况，估算公司需要缴纳的物流费用，做好资金管理。</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7.2订单分析</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从订单层面分析外贸B2C公司的运营成果。</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（1）订单收入</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订单收入包括订单总收入、地区订单收入、店铺订单收入和商品订单收入。从公司、地区、店铺和商品这四个方面统计分析外贸B2C公司的订单收入情况。具体包括每个回合的订单数量、销售商品的收入、买家支付的运费以及订单总额，统计并分析公司在外贸B2C平台的总体销售业绩。</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（2）商品订单量排名</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分析商品在外贸B2C平台中的订单量和对应排名，了解商品在该平台的销售和竞争情况。</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（3）商品流量和订单</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对比分析商品的曝光量、浏览量、转化率和订单等关键数据，寻找商品运营中存在的具体问题，从商品选品、标题、定价、营销等方面不断优化运营策略。</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（4）商品流量来源</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对比分析商品的不同流量来源，包括站内流量、平台营销工具流量、社交网络营销工具流量和店内流量，思考如何增加商品的流量，带动销售业绩。</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（5）店铺广告业绩</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通过分析广告业绩报表，了解商品广告的使用情况，优化广告投入决策，增加广告的精准度以及影响力，提高广告投入的回报率，提升销售业绩。</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7.3利润分析</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从利润层面分析外贸B2C公司的运营情况，包括营业收入、地区销售利润、店铺销售利润和单个商品销售利润。通过运营过程中的具体收入、成本、毛利以及毛利率，分析盈利或亏损的原因。</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7.4库存分析</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（1）库存清单</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查询过往回合的商品库存情况，包括国内仓和海外仓的库存明细。</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（2）发货信息</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分析各个平台的商品发货情况，包括订单的产生时间、最迟发货时间、订单数量、对应的出库地点、物流方式和实际发货时间等。查看订单的履行情况。</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（3）库存动销率</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通过库存动销率分析和优化商品库存管理策略。</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8.日程表</w:t>
      </w:r>
    </w:p>
    <w:p>
      <w:pPr>
        <w:spacing w:line="360" w:lineRule="auto"/>
        <w:ind w:firstLine="600"/>
        <w:rPr>
          <w:rFonts w:ascii="Arial Narrow" w:hAnsi="Arial Narrow" w:eastAsia="仿宋_GB2312"/>
          <w:sz w:val="28"/>
          <w:szCs w:val="28"/>
        </w:rPr>
      </w:pPr>
      <w:r>
        <w:rPr>
          <w:rFonts w:hint="eastAsia" w:ascii="Arial Narrow" w:hAnsi="Arial Narrow" w:eastAsia="仿宋_GB2312"/>
          <w:sz w:val="28"/>
          <w:szCs w:val="28"/>
        </w:rPr>
        <w:t>查看日程表，明确具体费用的缴纳时间，规避破产的风险。在某回合结束时，如果可用现金低于0，公司将会立即破产且无法进入下一回合。在某回合开始时，如果可用现金低于0，公司将会濒临破产，在该回合结束之前，使资金转负为正，可避免公司破产。</w:t>
      </w:r>
    </w:p>
    <w:p/>
    <w:sectPr>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48</w:t>
                </w:r>
                <w:r>
                  <w:fldChar w:fldCharType="end"/>
                </w:r>
                <w: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E8A4A7"/>
    <w:multiLevelType w:val="singleLevel"/>
    <w:tmpl w:val="91E8A4A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7636B"/>
    <w:rsid w:val="000B654B"/>
    <w:rsid w:val="00270E5C"/>
    <w:rsid w:val="00327EB0"/>
    <w:rsid w:val="005156E1"/>
    <w:rsid w:val="0054694B"/>
    <w:rsid w:val="0057636B"/>
    <w:rsid w:val="00663395"/>
    <w:rsid w:val="00843B33"/>
    <w:rsid w:val="00860A83"/>
    <w:rsid w:val="008D233E"/>
    <w:rsid w:val="0096508A"/>
    <w:rsid w:val="00A22203"/>
    <w:rsid w:val="00C107B3"/>
    <w:rsid w:val="00C574F0"/>
    <w:rsid w:val="00CE581C"/>
    <w:rsid w:val="00D264E6"/>
    <w:rsid w:val="00D56812"/>
    <w:rsid w:val="00D661DE"/>
    <w:rsid w:val="00F03717"/>
    <w:rsid w:val="00FA2714"/>
    <w:rsid w:val="02044901"/>
    <w:rsid w:val="027B61B3"/>
    <w:rsid w:val="03254F6D"/>
    <w:rsid w:val="05AA6525"/>
    <w:rsid w:val="0737292F"/>
    <w:rsid w:val="08AA33B3"/>
    <w:rsid w:val="1D2B6AF7"/>
    <w:rsid w:val="2563489F"/>
    <w:rsid w:val="323A2261"/>
    <w:rsid w:val="403D70BF"/>
    <w:rsid w:val="47413E98"/>
    <w:rsid w:val="479E0F78"/>
    <w:rsid w:val="48507DD1"/>
    <w:rsid w:val="5AF16129"/>
    <w:rsid w:val="5E320AB3"/>
    <w:rsid w:val="64AC1C01"/>
    <w:rsid w:val="652409C3"/>
    <w:rsid w:val="6C8A6E4F"/>
    <w:rsid w:val="6CB3444F"/>
    <w:rsid w:val="736E1CAD"/>
    <w:rsid w:val="74AF6986"/>
    <w:rsid w:val="75AF7135"/>
    <w:rsid w:val="761268EF"/>
    <w:rsid w:val="774B1F1F"/>
    <w:rsid w:val="776D4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
    <w:pPr>
      <w:keepNext/>
      <w:keepLines/>
      <w:spacing w:before="340" w:after="330" w:line="480" w:lineRule="auto"/>
      <w:outlineLvl w:val="0"/>
    </w:pPr>
    <w:rPr>
      <w:rFonts w:eastAsia="仿宋"/>
      <w:b/>
      <w:bCs/>
      <w:kern w:val="44"/>
      <w:sz w:val="28"/>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4"/>
    <w:semiHidden/>
    <w:unhideWhenUsed/>
    <w:qFormat/>
    <w:uiPriority w:val="99"/>
    <w:rPr>
      <w:rFonts w:ascii="宋体"/>
      <w:sz w:val="18"/>
      <w:szCs w:val="18"/>
    </w:r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10">
    <w:name w:val="标题 1 Char"/>
    <w:basedOn w:val="9"/>
    <w:link w:val="2"/>
    <w:qFormat/>
    <w:uiPriority w:val="9"/>
    <w:rPr>
      <w:rFonts w:ascii="Calibri" w:hAnsi="Calibri" w:eastAsia="仿宋" w:cs="Times New Roman"/>
      <w:b/>
      <w:bCs/>
      <w:kern w:val="44"/>
      <w:sz w:val="28"/>
      <w:szCs w:val="44"/>
    </w:rPr>
  </w:style>
  <w:style w:type="character" w:customStyle="1" w:styleId="11">
    <w:name w:val="页脚 Char"/>
    <w:basedOn w:val="9"/>
    <w:link w:val="5"/>
    <w:qFormat/>
    <w:uiPriority w:val="99"/>
    <w:rPr>
      <w:rFonts w:ascii="Calibri" w:hAnsi="Calibri" w:eastAsia="宋体" w:cs="Times New Roman"/>
      <w:sz w:val="18"/>
      <w:szCs w:val="18"/>
    </w:rPr>
  </w:style>
  <w:style w:type="character" w:customStyle="1" w:styleId="12">
    <w:name w:val="页眉 Char"/>
    <w:basedOn w:val="9"/>
    <w:link w:val="6"/>
    <w:qFormat/>
    <w:uiPriority w:val="99"/>
    <w:rPr>
      <w:rFonts w:ascii="Calibri" w:hAnsi="Calibri" w:eastAsia="宋体" w:cs="Times New Roman"/>
      <w:sz w:val="18"/>
      <w:szCs w:val="18"/>
    </w:rPr>
  </w:style>
  <w:style w:type="character" w:customStyle="1" w:styleId="13">
    <w:name w:val="批注框文本 Char"/>
    <w:basedOn w:val="9"/>
    <w:link w:val="4"/>
    <w:semiHidden/>
    <w:qFormat/>
    <w:uiPriority w:val="99"/>
    <w:rPr>
      <w:rFonts w:ascii="Calibri" w:hAnsi="Calibri" w:eastAsia="宋体" w:cs="Times New Roman"/>
      <w:sz w:val="18"/>
      <w:szCs w:val="18"/>
    </w:rPr>
  </w:style>
  <w:style w:type="character" w:customStyle="1" w:styleId="14">
    <w:name w:val="文档结构图 Char"/>
    <w:basedOn w:val="9"/>
    <w:link w:val="3"/>
    <w:semiHidden/>
    <w:qFormat/>
    <w:uiPriority w:val="99"/>
    <w:rPr>
      <w:rFonts w:ascii="宋体"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6.png"/><Relationship Id="rId31" Type="http://schemas.openxmlformats.org/officeDocument/2006/relationships/image" Target="media/image15.png"/><Relationship Id="rId30" Type="http://schemas.openxmlformats.org/officeDocument/2006/relationships/image" Target="media/image14.png"/><Relationship Id="rId3" Type="http://schemas.openxmlformats.org/officeDocument/2006/relationships/footer" Target="footer1.xml"/><Relationship Id="rId29" Type="http://schemas.openxmlformats.org/officeDocument/2006/relationships/image" Target="media/image13.wmf"/><Relationship Id="rId28" Type="http://schemas.openxmlformats.org/officeDocument/2006/relationships/oleObject" Target="embeddings/oleObject12.bin"/><Relationship Id="rId27" Type="http://schemas.openxmlformats.org/officeDocument/2006/relationships/image" Target="media/image12.wmf"/><Relationship Id="rId26" Type="http://schemas.openxmlformats.org/officeDocument/2006/relationships/oleObject" Target="embeddings/oleObject11.bin"/><Relationship Id="rId25" Type="http://schemas.openxmlformats.org/officeDocument/2006/relationships/image" Target="media/image11.png"/><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2975</Words>
  <Characters>16962</Characters>
  <Lines>141</Lines>
  <Paragraphs>39</Paragraphs>
  <TotalTime>25</TotalTime>
  <ScaleCrop>false</ScaleCrop>
  <LinksUpToDate>false</LinksUpToDate>
  <CharactersWithSpaces>19898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2021-02-01T02:00:00Z</dcterms:created>
  <dc:creator>admin</dc:creator>
  <cp:lastModifiedBy>李鸿雁</cp:lastModifiedBy>
  <dcterms:modified xsi:type="dcterms:W3CDTF">2021-04-14T09:23:51Z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7194A258BAB4422ABB770BD6E4E2443E</vt:lpwstr>
  </property>
</Properties>
</file>