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7"/>
        </w:tabs>
        <w:spacing w:line="600" w:lineRule="exact"/>
        <w:rPr>
          <w:rFonts w:hint="eastAsia" w:eastAsia="方正黑体_GBK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eastAsia="方正黑体_GBK"/>
          <w:bCs/>
          <w:sz w:val="32"/>
          <w:szCs w:val="32"/>
          <w:lang w:val="zh-CN"/>
        </w:rPr>
        <w:t>附件</w:t>
      </w:r>
      <w:r>
        <w:rPr>
          <w:rFonts w:hint="eastAsia" w:eastAsia="方正黑体_GBK"/>
          <w:bCs/>
          <w:sz w:val="32"/>
          <w:szCs w:val="32"/>
        </w:rPr>
        <w:t>1</w:t>
      </w: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hint="eastAsia" w:eastAsia="方正小标宋_GBK"/>
          <w:bCs/>
          <w:sz w:val="44"/>
          <w:szCs w:val="44"/>
          <w:lang w:val="zh-CN"/>
        </w:rPr>
      </w:pP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hint="eastAsia" w:eastAsia="方正小标宋_GBK"/>
          <w:bCs/>
          <w:sz w:val="44"/>
          <w:szCs w:val="44"/>
          <w:lang w:val="zh-CN"/>
        </w:rPr>
      </w:pPr>
      <w:r>
        <w:rPr>
          <w:rFonts w:hint="eastAsia" w:eastAsia="方正小标宋_GBK"/>
          <w:bCs/>
          <w:sz w:val="44"/>
          <w:szCs w:val="44"/>
          <w:lang w:val="zh-CN"/>
        </w:rPr>
        <w:t>重庆市首届语言文字论文评选活动</w:t>
      </w: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hint="eastAsia" w:eastAsia="方正小标宋_GBK"/>
          <w:bCs/>
          <w:sz w:val="44"/>
          <w:szCs w:val="44"/>
          <w:lang w:val="zh-CN"/>
        </w:rPr>
      </w:pPr>
      <w:r>
        <w:rPr>
          <w:rFonts w:hint="eastAsia" w:eastAsia="方正小标宋_GBK"/>
          <w:bCs/>
          <w:sz w:val="44"/>
          <w:szCs w:val="44"/>
          <w:lang w:val="zh-CN"/>
        </w:rPr>
        <w:t>选题指南</w:t>
      </w:r>
    </w:p>
    <w:p>
      <w:pPr>
        <w:widowControl/>
        <w:tabs>
          <w:tab w:val="left" w:pos="7728"/>
          <w:tab w:val="left" w:pos="7889"/>
        </w:tabs>
        <w:spacing w:line="594" w:lineRule="exact"/>
        <w:jc w:val="center"/>
        <w:rPr>
          <w:rFonts w:hint="eastAsia" w:eastAsia="仿宋_GB2312" w:cs="宋体"/>
          <w:b/>
          <w:bCs/>
          <w:kern w:val="0"/>
          <w:sz w:val="32"/>
          <w:szCs w:val="32"/>
        </w:rPr>
      </w:pP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选题指南主要根据当前我国语言文字研究的重点、热点和难点问题制定，为研究者确定研究范围、研究视角、研究材料以及拟定论文题目提供参考，不能直接用作论文题目。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一、语言文字基础理论研究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（一）汉语汉字探源研究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（二）国内外不同语言文字比较研究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（三）语言战略理论研究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（四）语言政策研究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二、语言文字决策咨询研究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（五）语言文字事业发展研究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（六）语言使用和语言舆情的监测与研究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（七）不同领域语言文字问题研究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（八）语言认同与国家认同、文化认同之间的关系研究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（九）港澳台地区语言生活和语言政策研究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（十）语言发展战略研究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（十一）语言服务规划研究　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（十二）语言公共服务应用研究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（十三）汉字应用水平测试工作研究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（十四）推普及精准扶贫路径研究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（十五）手语、盲文使用状况研究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（十六）语言康复研究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三、语言文字信息技术和新兴领域研究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（十七）语言文字信息处理研究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（十八）语言信息技术转化和应用研究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（十九）语言经济与语言产业研究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（二十）文化典籍的话语转换与智能化传播研究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（二十一）“互联网+”行动下的语言需求研究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（二十二）网络语言生活研究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（二十三）语言文字信息处理技术评测研究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四、语言文字规范标准建设研究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（二十四）语言文字规范标准研制中的理论依据研究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（二十五）少数民族语言文字规范标准研究</w:t>
      </w:r>
    </w:p>
    <w:p>
      <w:pPr>
        <w:widowControl/>
        <w:spacing w:line="594" w:lineRule="exact"/>
        <w:ind w:firstLine="616" w:firstLineChars="200"/>
        <w:jc w:val="left"/>
        <w:rPr>
          <w:rFonts w:hint="eastAsia" w:eastAsia="方正仿宋_GBK" w:cs="宋体"/>
          <w:spacing w:val="-6"/>
          <w:kern w:val="0"/>
          <w:sz w:val="32"/>
          <w:szCs w:val="32"/>
        </w:rPr>
      </w:pPr>
      <w:r>
        <w:rPr>
          <w:rFonts w:hint="eastAsia" w:eastAsia="方正仿宋_GBK" w:cs="宋体"/>
          <w:spacing w:val="-6"/>
          <w:kern w:val="0"/>
          <w:sz w:val="32"/>
          <w:szCs w:val="32"/>
        </w:rPr>
        <w:t>（二十六）通用手语和通用盲文规范标准，以及外语使用标准研究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（二十七）大陆与台湾、内地与港澳语言文字标准的比较研究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（二十八）国家通用语言文字应用能力标准、评测认证标准，职业语言能力标准和行业语言服务规范研究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（二十九）语言文字规范标准的推广普及研究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（三十）语言文字规范标准体系研究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（三十一）不同行业、不同人群的语言文字应用能力的评价标准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（三十二）行业语言服务标准研究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（三十三）不同行业语言服务能力提升的策略研究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五、语言文字教育教学研究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（三十四）语言教育教学研究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（三十五）语文教材建设研究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（三十六）学生语言态度、母语素养及表达能力提高研究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（三十七）中华经典诵读教育与语文教育相关研究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六、语言国情与语言资源保护研究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（三十八）语言国情调查研究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（三十九）语言资源的理论、政策与技术研究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（四十）语言文字使用状况调研研究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（四十一）新媒体和数字化产品的语言文字使用状况调查研究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（四十二）语言文字资源保护研究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黑体_GBK" w:cs="宋体"/>
          <w:bCs/>
          <w:kern w:val="0"/>
          <w:sz w:val="32"/>
          <w:szCs w:val="32"/>
        </w:rPr>
      </w:pPr>
      <w:r>
        <w:rPr>
          <w:rFonts w:hint="eastAsia" w:eastAsia="方正黑体_GBK" w:cs="宋体"/>
          <w:bCs/>
          <w:kern w:val="0"/>
          <w:sz w:val="32"/>
          <w:szCs w:val="32"/>
        </w:rPr>
        <w:t>七、语言文字国际传播与比较研究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（四十三）中国语言文化国际传播研究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（四十四）中国话语权和话语体系研究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（四十五）汉语国际教育研究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（四十六）中华思想文化核心术语译介及传播研究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仿宋_GBK" w:cs="宋体"/>
          <w:kern w:val="0"/>
          <w:sz w:val="32"/>
          <w:szCs w:val="32"/>
        </w:rPr>
      </w:pPr>
      <w:r>
        <w:rPr>
          <w:rFonts w:hint="eastAsia" w:eastAsia="方正仿宋_GBK" w:cs="宋体"/>
          <w:kern w:val="0"/>
          <w:sz w:val="32"/>
          <w:szCs w:val="32"/>
        </w:rPr>
        <w:t>（四十七）语言状况、语言生活、语言政策与规划、语言教育等国别比较研究</w:t>
      </w:r>
    </w:p>
    <w:p>
      <w:pPr>
        <w:widowControl/>
        <w:spacing w:line="594" w:lineRule="exact"/>
        <w:ind w:firstLine="640" w:firstLineChars="200"/>
        <w:jc w:val="left"/>
        <w:rPr>
          <w:rFonts w:hint="eastAsia" w:eastAsia="方正楷体_GBK" w:cs="宋体"/>
          <w:b/>
          <w:color w:val="FF0000"/>
          <w:kern w:val="0"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985" w:right="1446" w:bottom="1644" w:left="1446" w:header="851" w:footer="1247" w:gutter="0"/>
          <w:pgNumType w:fmt="numberInDash"/>
          <w:cols w:space="425" w:num="1"/>
          <w:titlePg/>
          <w:docGrid w:linePitch="600" w:charSpace="22922"/>
        </w:sectPr>
      </w:pPr>
      <w:r>
        <w:rPr>
          <w:rFonts w:hint="eastAsia" w:eastAsia="方正仿宋_GBK" w:cs="宋体"/>
          <w:kern w:val="0"/>
          <w:sz w:val="32"/>
          <w:szCs w:val="32"/>
        </w:rPr>
        <w:t>（四十八）“一带一路”语言服务研究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fldChar w:fldCharType="begin"/>
    </w:r>
    <w:r>
      <w:rPr>
        <w:rStyle w:val="6"/>
        <w:rFonts w:hint="eastAsia" w:ascii="宋体" w:hAnsi="宋体"/>
        <w:sz w:val="28"/>
        <w:szCs w:val="28"/>
      </w:rPr>
      <w:instrText xml:space="preserve">PAGE  </w:instrText>
    </w:r>
    <w:r>
      <w:rPr>
        <w:rStyle w:val="6"/>
        <w:rFonts w:hint="eastAsia"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- 9 -</w:t>
    </w:r>
    <w:r>
      <w:rPr>
        <w:rStyle w:val="6"/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- 10 -</w:t>
    </w:r>
    <w:r>
      <w:rPr>
        <w:rStyle w:val="6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67C7D"/>
    <w:rsid w:val="6176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2019-06-06T01:31:00Z</dcterms:created>
  <dc:creator>Administrator</dc:creator>
  <cp:lastModifiedBy>Administrator</cp:lastModifiedBy>
  <dcterms:modified xsi:type="dcterms:W3CDTF">2019-06-06T01:32:38Z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